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The continued emergence of biometric identifiers like fingerprints shows how new technologies can use the body as a carrier of information (Matzner, 2019). As digital technology becomes mobile and wearable, and as digital devices become tightly connected because they are constantly moving with the human, this drives digital devices closer to the human flesh and even becomes part of the human body (Lupton, 2017). Sanders (2017) argues that digital self-tracking devices are a biopolitical tool, with public health experts communicating healthy norms for living while prompting individuals to regulate and modify their own behaviour. Digital devices generate large amounts of data, allowing users to use this data to quantify themselves to further data-based self-constitution (Ochs et al., 2021).</w:t>
      </w:r>
      <w:r>
        <w:rPr>
          <w:rFonts w:hint="default"/>
        </w:rPr>
        <w:t xml:space="preserve"> </w:t>
      </w:r>
      <w:r>
        <w:rPr>
          <w:rFonts w:hint="eastAsia"/>
        </w:rPr>
        <w:t>The outbreak of COVID-19</w:t>
      </w:r>
      <w:bookmarkStart w:id="0" w:name="_GoBack"/>
      <w:bookmarkEnd w:id="0"/>
      <w:r>
        <w:rPr>
          <w:rFonts w:hint="eastAsia"/>
        </w:rPr>
        <w:t xml:space="preserve"> has led to wider concern about the behaviour of self-quantification (Liu, Lv and Tang, 2021). According to Sensor Tower (2021), the number of installations of quantified apps surged to 530 million in the second quarter of 2020. In China, the enthusiasm for self-quantification is reflected in the national support for the popular use of health code. Data shows that over 900 million people have registered on the Health Code platform in China by 2021 (ChinaDaily, 2021).</w:t>
      </w:r>
      <w:r>
        <w:rPr>
          <w:rFonts w:hint="default"/>
        </w:rPr>
        <w:t xml:space="preserve"> </w:t>
      </w:r>
      <w:r>
        <w:rPr>
          <w:rFonts w:hint="eastAsia"/>
        </w:rPr>
        <w:t>The Chinese health code is a product of the accelerated digital governance in the specific context of pandemic, and can be regarded to some extent as another form of digital self-tracking devices. The use of health code is almost compulsory in China due to the fact that they are required in a variety of situations. This is a manifestation of the increased biopower of the public health authorities, which collects body data on individuals and thus enables the state to control pandemic.</w:t>
      </w:r>
    </w:p>
    <w:p>
      <w:pPr>
        <w:rPr>
          <w:rFonts w:hint="eastAsia"/>
        </w:rPr>
      </w:pPr>
    </w:p>
    <w:p>
      <w:pPr>
        <w:rPr>
          <w:rFonts w:hint="eastAsia"/>
        </w:rPr>
      </w:pPr>
      <w:r>
        <w:rPr>
          <w:rFonts w:hint="eastAsia"/>
        </w:rPr>
        <w:t xml:space="preserve">It is undeniable that all </w:t>
      </w:r>
      <w:r>
        <w:rPr>
          <w:rFonts w:hint="eastAsia"/>
          <w:lang w:val="en-US" w:eastAsia="zh-Hans"/>
        </w:rPr>
        <w:t>Chinese</w:t>
      </w:r>
      <w:r>
        <w:rPr>
          <w:rFonts w:hint="default"/>
          <w:lang w:eastAsia="zh-Hans"/>
        </w:rPr>
        <w:t xml:space="preserve"> </w:t>
      </w:r>
      <w:r>
        <w:rPr>
          <w:rFonts w:hint="eastAsia"/>
        </w:rPr>
        <w:t xml:space="preserve">government departments are going all out to fight against the COVID-19 and the social management and construction in the post </w:t>
      </w:r>
      <w:r>
        <w:rPr>
          <w:rFonts w:hint="default"/>
        </w:rPr>
        <w:t>pandemic</w:t>
      </w:r>
      <w:r>
        <w:rPr>
          <w:rFonts w:hint="eastAsia"/>
        </w:rPr>
        <w:t xml:space="preserve"> era</w:t>
      </w:r>
      <w:r>
        <w:rPr>
          <w:rFonts w:hint="default"/>
        </w:rPr>
        <w:t xml:space="preserve">, but </w:t>
      </w:r>
      <w:r>
        <w:rPr>
          <w:rFonts w:hint="eastAsia"/>
        </w:rPr>
        <w:t>the pandemic</w:t>
      </w:r>
      <w:r>
        <w:rPr>
          <w:rFonts w:hint="default"/>
        </w:rPr>
        <w:t xml:space="preserve"> </w:t>
      </w:r>
      <w:r>
        <w:rPr>
          <w:rFonts w:hint="eastAsia"/>
        </w:rPr>
        <w:t>has also brought great challenges to the government and relevant policy makers. On the one hand, government departments continue to adjust and modify response measures according to the rapidly changing virus information and social evidence, and use big data monitoring, health code issuance and other means to replace large-scale isolation and city closure measures to control the geographical flow of population and reduce the intervention in citizens' production and living activities as much as possible. Digital labels such as health code ha</w:t>
      </w:r>
      <w:r>
        <w:rPr>
          <w:rFonts w:hint="default"/>
        </w:rPr>
        <w:t>s</w:t>
      </w:r>
      <w:r>
        <w:rPr>
          <w:rFonts w:hint="eastAsia"/>
        </w:rPr>
        <w:t xml:space="preserve"> gradually become China's "Digital Defense Line" in a sense (Bernot and Siqueira Cassiano, 2022). On the other hand, the monitoring, investigation and evaluation of personal identity information, health information and moving track by artificial intelligence monitoring system affects the questioning and loss of citizens' trust in government, enterprises, platforms and technologies.</w:t>
      </w:r>
      <w:r>
        <w:rPr>
          <w:rFonts w:hint="default"/>
        </w:rPr>
        <w:t xml:space="preserve"> “</w:t>
      </w:r>
      <w:r>
        <w:rPr>
          <w:rFonts w:hint="eastAsia"/>
        </w:rPr>
        <w:t>I want to single out a relational logic within this combined position: one that discursively locates and relocates us according to patterned, associative interpretations of our data</w:t>
      </w:r>
      <w:r>
        <w:rPr>
          <w:rFonts w:hint="default"/>
        </w:rPr>
        <w:t>”</w:t>
      </w:r>
      <w:r>
        <w:rPr>
          <w:rFonts w:hint="eastAsia"/>
        </w:rPr>
        <w:t xml:space="preserve"> (John Cheney-Lippold,</w:t>
      </w:r>
      <w:r>
        <w:rPr>
          <w:rFonts w:hint="default"/>
        </w:rPr>
        <w:t xml:space="preserve"> </w:t>
      </w:r>
      <w:r>
        <w:rPr>
          <w:rFonts w:hint="eastAsia"/>
        </w:rPr>
        <w:t>2017)</w:t>
      </w:r>
      <w:r>
        <w:rPr>
          <w:rFonts w:hint="default"/>
        </w:rPr>
        <w:t>. However, o</w:t>
      </w:r>
      <w:r>
        <w:rPr>
          <w:rFonts w:hint="eastAsia"/>
        </w:rPr>
        <w:t>nce the altruism at the beginning of the crisis and the social consensus on the common well-being of mankind are broken, the society and the government will face great disappointment, complaints and accusations (Boin et al., 2020). In the COVID-19, this change from unity and obedience to suspicion and accountability can be reflected in the change of attitude towards the digital governance of the government.</w:t>
      </w:r>
    </w:p>
    <w:p>
      <w:pPr>
        <w:rPr>
          <w:rFonts w:hint="eastAsia"/>
        </w:rPr>
      </w:pPr>
    </w:p>
    <w:p>
      <w:pPr>
        <w:rPr>
          <w:rFonts w:hint="eastAsia"/>
        </w:rPr>
      </w:pPr>
      <w:r>
        <w:rPr>
          <w:rFonts w:hint="eastAsia"/>
        </w:rPr>
        <w:t>Digital communication and governance methods help to reduce the transmission, morbidity and mortality of infectious diseases, while reserving more time for the public health system to prepare for emergency actions (Borda et al., 2022). However, openness, transparency, fairness and humanitarianism in big data applications need more exploration and practice. The five principles of ethical AI frameworks, beneficence, non-maleficence, autonomy, justice and explicability may provide a reference for digital governance</w:t>
      </w:r>
      <w:r>
        <w:rPr>
          <w:rFonts w:hint="default"/>
        </w:rPr>
        <w:t xml:space="preserve"> </w:t>
      </w:r>
      <w:r>
        <w:rPr>
          <w:rFonts w:hint="eastAsia"/>
        </w:rPr>
        <w:t xml:space="preserve">(Floridi et al., 2018).The State should base its respect for digital information with citizens on the premise of privacy. </w:t>
      </w:r>
      <w:r>
        <w:rPr>
          <w:rFonts w:hint="default"/>
        </w:rPr>
        <w:t>“</w:t>
      </w:r>
      <w:r>
        <w:rPr>
          <w:rFonts w:hint="eastAsia"/>
        </w:rPr>
        <w:t>Ultimately, healthcare policymakers at the international level need to develop a shared policy and regulatory framework supporting a balanced agenda that safeguards personal information, limits business exploitations and gives out a clear message to the public while enabling the use of data for research and commercial use</w:t>
      </w:r>
      <w:r>
        <w:rPr>
          <w:rFonts w:hint="default"/>
        </w:rPr>
        <w:t>”</w:t>
      </w:r>
      <w:r>
        <w:rPr>
          <w:rFonts w:hint="eastAsia"/>
        </w:rPr>
        <w:t xml:space="preserve"> (Kostkova et al. 2016)</w:t>
      </w:r>
      <w:r>
        <w:rPr>
          <w:rFonts w:hint="default"/>
        </w:rPr>
        <w:t xml:space="preserve">. </w:t>
      </w:r>
      <w:r>
        <w:rPr>
          <w:rFonts w:hint="eastAsia"/>
        </w:rPr>
        <w:t xml:space="preserve">Health code </w:t>
      </w:r>
      <w:r>
        <w:rPr>
          <w:rFonts w:hint="eastAsia"/>
          <w:lang w:val="en-US" w:eastAsia="zh-Hans"/>
        </w:rPr>
        <w:t>is</w:t>
      </w:r>
      <w:r>
        <w:rPr>
          <w:rFonts w:hint="eastAsia"/>
        </w:rPr>
        <w:t xml:space="preserve"> considered to be a tool that closely integrates people and information, with the aim of creating and monitoring the digital body of the user, which is defined by Hu (201</w:t>
      </w:r>
      <w:r>
        <w:rPr>
          <w:rFonts w:hint="default"/>
        </w:rPr>
        <w:t>4</w:t>
      </w:r>
      <w:r>
        <w:rPr>
          <w:rFonts w:hint="eastAsia"/>
        </w:rPr>
        <w:t>, p. 774) as " A virtual representation of our digital selves and may serve as a potential proxy for an actual person”. In the same paper, Hu (201</w:t>
      </w:r>
      <w:r>
        <w:rPr>
          <w:rFonts w:hint="default"/>
        </w:rPr>
        <w:t>4</w:t>
      </w:r>
      <w:r>
        <w:rPr>
          <w:rFonts w:hint="eastAsia"/>
        </w:rPr>
        <w:t>) mentions the use of the digital body as a means of online big data surveillance and raises concerns about the misuse of private bodily data. al-Janabi, Al-Shourbaji, Shojafar and Shamshirband (2017) also point out the requirements and challenges faced by health monitoring software in terms of system security and privacy protection by examining the network architecture in which this type of software operates, which is undoubtedly the same issue faced by health code as labelled data monitoring application.</w:t>
      </w:r>
    </w:p>
    <w:p>
      <w:pPr>
        <w:rPr>
          <w:rFonts w:hint="eastAsia"/>
        </w:rPr>
      </w:pPr>
    </w:p>
    <w:p>
      <w:pPr>
        <w:rPr>
          <w:rFonts w:hint="eastAsia"/>
        </w:rPr>
      </w:pPr>
    </w:p>
    <w:p>
      <w:pPr>
        <w:rPr>
          <w:rFonts w:hint="eastAsia"/>
          <w:strike/>
          <w:dstrike w:val="0"/>
          <w:color w:val="C00000"/>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Book Antiqua">
    <w:altName w:val="苹方-简"/>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E1002AFF" w:usb1="C000605B" w:usb2="00000029" w:usb3="00000000" w:csb0="200101FF" w:csb1="20280000"/>
  </w:font>
  <w:font w:name="Consolas">
    <w:altName w:val="苹方-简"/>
    <w:panose1 w:val="020B0609020204030204"/>
    <w:charset w:val="00"/>
    <w:family w:val="modern"/>
    <w:pitch w:val="default"/>
    <w:sig w:usb0="00000000" w:usb1="00000000" w:usb2="00000001" w:usb3="00000000" w:csb0="0000019F" w:csb1="00000000"/>
  </w:font>
  <w:font w:name="TradeGothic Light">
    <w:altName w:val="苹方-简"/>
    <w:panose1 w:val="00000000000000000000"/>
    <w:charset w:val="00"/>
    <w:family w:val="swiss"/>
    <w:pitch w:val="default"/>
    <w:sig w:usb0="00000000" w:usb1="00000000" w:usb2="00000000" w:usb3="00000000" w:csb0="00000001" w:csb1="00000000"/>
  </w:font>
  <w:font w:name="MS Gothic">
    <w:altName w:val="Hiragino Sans"/>
    <w:panose1 w:val="020B0609070205080204"/>
    <w:charset w:val="80"/>
    <w:family w:val="modern"/>
    <w:pitch w:val="default"/>
    <w:sig w:usb0="00000000" w:usb1="00000000" w:usb2="08000012" w:usb3="00000000" w:csb0="0002009F" w:csb1="00000000"/>
  </w:font>
  <w:font w:name="Times">
    <w:panose1 w:val="00000500000000020000"/>
    <w:charset w:val="00"/>
    <w:family w:val="roman"/>
    <w:pitch w:val="default"/>
    <w:sig w:usb0="E00002FF" w:usb1="5000205A" w:usb2="00000000" w:usb3="00000000" w:csb0="2000019F" w:csb1="4F010000"/>
  </w:font>
  <w:font w:name="Courier">
    <w:altName w:val="苹方-简"/>
    <w:panose1 w:val="02070409020205020404"/>
    <w:charset w:val="00"/>
    <w:family w:val="auto"/>
    <w:pitch w:val="default"/>
    <w:sig w:usb0="00000000" w:usb1="00000000" w:usb2="00000000" w:usb3="00000000" w:csb0="00000003" w:csb1="00000000"/>
  </w:font>
  <w:font w:name="Helvetica">
    <w:panose1 w:val="00000000000000000000"/>
    <w:charset w:val="00"/>
    <w:family w:val="swiss"/>
    <w:pitch w:val="default"/>
    <w:sig w:usb0="E00002FF" w:usb1="5000785B" w:usb2="00000000" w:usb3="00000000" w:csb0="2000019F" w:csb1="4F010000"/>
  </w:font>
  <w:font w:name="Calibri Light">
    <w:altName w:val="Helvetica Neue"/>
    <w:panose1 w:val="020F0302020204030204"/>
    <w:charset w:val="00"/>
    <w:family w:val="swiss"/>
    <w:pitch w:val="default"/>
    <w:sig w:usb0="00000000" w:usb1="00000000" w:usb2="00000009" w:usb3="00000000" w:csb0="000001FF"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 w:name="Arial Bold">
    <w:panose1 w:val="020B06040202020902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Noto Sans SC">
    <w:altName w:val="苹方-简"/>
    <w:panose1 w:val="00000000000000000000"/>
    <w:charset w:val="00"/>
    <w:family w:val="auto"/>
    <w:pitch w:val="default"/>
    <w:sig w:usb0="00000000" w:usb1="00000000" w:usb2="00000000" w:usb3="00000000" w:csb0="00000000" w:csb1="00000000"/>
  </w:font>
  <w:font w:name="PingFangSC-Regular">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cardo">
    <w:altName w:val="苹方-简"/>
    <w:panose1 w:val="00000000000000000000"/>
    <w:charset w:val="00"/>
    <w:family w:val="auto"/>
    <w:pitch w:val="default"/>
    <w:sig w:usb0="00000000" w:usb1="00000000" w:usb2="00000000" w:usb3="00000000" w:csb0="00000000" w:csb1="00000000"/>
  </w:font>
  <w:font w:name="Arial Regular">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MacDictSTHeiti">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3B37"/>
    <w:rsid w:val="7C75AB0F"/>
    <w:rsid w:val="7FEA2F39"/>
    <w:rsid w:val="A9FD8D73"/>
    <w:rsid w:val="ECF7E0FF"/>
    <w:rsid w:val="EFEF26A2"/>
    <w:rsid w:val="FBBF200A"/>
    <w:rsid w:val="FFFF3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2022-05-03T01:20:00Z</dcterms:created>
  <dc:creator>songbinyang</dc:creator>
  <cp:lastModifiedBy>songbinyang</cp:lastModifiedBy>
  <dcterms:modified xsi:type="dcterms:W3CDTF">2022-05-03T01:11:51Z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