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176C" w14:textId="7AB40EE6" w:rsidR="00383B8D" w:rsidRDefault="00383B8D">
      <w:r>
        <w:rPr>
          <w:rFonts w:hint="eastAsia"/>
        </w:rPr>
        <w:t>在视频中，我们收集了中国除台湾省以外的3</w:t>
      </w:r>
      <w:r>
        <w:t>3</w:t>
      </w:r>
      <w:r>
        <w:rPr>
          <w:rFonts w:hint="eastAsia"/>
        </w:rPr>
        <w:t>个行政区划的本地健康</w:t>
      </w:r>
      <w:proofErr w:type="gramStart"/>
      <w:r>
        <w:rPr>
          <w:rFonts w:hint="eastAsia"/>
        </w:rPr>
        <w:t>码注册</w:t>
      </w:r>
      <w:proofErr w:type="gramEnd"/>
      <w:r>
        <w:rPr>
          <w:rFonts w:hint="eastAsia"/>
        </w:rPr>
        <w:t>数据和最近一次全国人口普查的数据，试图以此为根据计算出各地本地健康码在各省份的人口覆盖率</w:t>
      </w:r>
      <w:r w:rsidR="00DD0229">
        <w:rPr>
          <w:rFonts w:hint="eastAsia"/>
        </w:rPr>
        <w:t>，从而令观众对健康码在中国的使用范围之广、人数之多有直观的了解，并同时能够通过该数据，一目了然地观察到健康码覆盖率的普及与城市发达程度之间的关系。</w:t>
      </w:r>
    </w:p>
    <w:p w14:paraId="68AC8211" w14:textId="3D06B166" w:rsidR="00A9107D" w:rsidRDefault="00A9107D"/>
    <w:p w14:paraId="13114B66" w14:textId="77777777" w:rsidR="00A9107D" w:rsidRDefault="00A9107D" w:rsidP="00A9107D">
      <w:r>
        <w:t>In the video, we have collected data on the registration of local health codes in 33 administrative regions of China, excluding Taiwan Province, and the latest national census, in an attempt to calculate the population coverage of local health codes in each province based on this data, so that viewers can have a visual understanding of the wide range and number of people using health codes in China, and at the same time be able to observe at a glance through this data The data also allows the audience to see at a glance the relationship between the popularity of health codes and the level of urban development.</w:t>
      </w:r>
    </w:p>
    <w:p w14:paraId="5B91A929" w14:textId="7E1365E7" w:rsidR="00383B8D" w:rsidRDefault="00383B8D"/>
    <w:p w14:paraId="49395138" w14:textId="681F6029" w:rsidR="00383B8D" w:rsidRDefault="007010A3">
      <w:r>
        <w:rPr>
          <w:rFonts w:hint="eastAsia"/>
        </w:rPr>
        <w:t>其中，各</w:t>
      </w:r>
      <w:proofErr w:type="gramStart"/>
      <w:r>
        <w:rPr>
          <w:rFonts w:hint="eastAsia"/>
        </w:rPr>
        <w:t>省份本地</w:t>
      </w:r>
      <w:r w:rsidR="00383B8D">
        <w:rPr>
          <w:rFonts w:hint="eastAsia"/>
        </w:rPr>
        <w:t>健康码注册</w:t>
      </w:r>
      <w:proofErr w:type="gramEnd"/>
      <w:r w:rsidR="00383B8D">
        <w:rPr>
          <w:rFonts w:hint="eastAsia"/>
        </w:rPr>
        <w:t>数</w:t>
      </w:r>
      <w:r>
        <w:rPr>
          <w:rFonts w:hint="eastAsia"/>
        </w:rPr>
        <w:t>据大部分来源于各省份健康</w:t>
      </w:r>
      <w:proofErr w:type="gramStart"/>
      <w:r>
        <w:rPr>
          <w:rFonts w:hint="eastAsia"/>
        </w:rPr>
        <w:t>卫生委</w:t>
      </w:r>
      <w:proofErr w:type="gramEnd"/>
      <w:r>
        <w:rPr>
          <w:rFonts w:hint="eastAsia"/>
        </w:rPr>
        <w:t>提供的报告文件</w:t>
      </w:r>
      <w:r w:rsidR="009676C1">
        <w:rPr>
          <w:rFonts w:hint="eastAsia"/>
        </w:rPr>
        <w:t>。由于健康码的全面推广在疫情初期被视为各级政府政绩的表现，在2</w:t>
      </w:r>
      <w:r w:rsidR="009676C1">
        <w:t>020</w:t>
      </w:r>
      <w:r w:rsidR="009676C1">
        <w:rPr>
          <w:rFonts w:hint="eastAsia"/>
        </w:rPr>
        <w:t>年3月，有大量的报告文件被发表，用以证明该省份的健康码推广成果。然而，这也同时意味着在健康码的推广工作逐渐走上正轨后，几乎没有相关统计数据再被公开发表，这导致我们仅仅收集到了2</w:t>
      </w:r>
      <w:r w:rsidR="009676C1">
        <w:t>020</w:t>
      </w:r>
      <w:r w:rsidR="009676C1">
        <w:rPr>
          <w:rFonts w:hint="eastAsia"/>
        </w:rPr>
        <w:t>年上半年的健康</w:t>
      </w:r>
      <w:proofErr w:type="gramStart"/>
      <w:r w:rsidR="009676C1">
        <w:rPr>
          <w:rFonts w:hint="eastAsia"/>
        </w:rPr>
        <w:t>码注册</w:t>
      </w:r>
      <w:proofErr w:type="gramEnd"/>
      <w:r w:rsidR="009676C1">
        <w:rPr>
          <w:rFonts w:hint="eastAsia"/>
        </w:rPr>
        <w:t>数据，造成了数据时效性与准确性方向上的缺陷。然而，积极的方面是，</w:t>
      </w:r>
      <w:r w:rsidR="00DD0229">
        <w:rPr>
          <w:rFonts w:hint="eastAsia"/>
        </w:rPr>
        <w:t>由于最近一次全国人口普查，即第七次人口普查同样发生在</w:t>
      </w:r>
      <w:r w:rsidR="00DD0229">
        <w:t>2020</w:t>
      </w:r>
      <w:r w:rsidR="00DD0229">
        <w:rPr>
          <w:rFonts w:hint="eastAsia"/>
        </w:rPr>
        <w:t>年，</w:t>
      </w:r>
      <w:r w:rsidR="007476AB">
        <w:rPr>
          <w:rFonts w:hint="eastAsia"/>
        </w:rPr>
        <w:t>在相近的时间维度上，</w:t>
      </w:r>
      <w:r w:rsidR="00DD0229">
        <w:rPr>
          <w:rFonts w:hint="eastAsia"/>
        </w:rPr>
        <w:t>经过计算得出的健康码在</w:t>
      </w:r>
      <w:r w:rsidR="003D24FE">
        <w:rPr>
          <w:rFonts w:hint="eastAsia"/>
        </w:rPr>
        <w:t>当时</w:t>
      </w:r>
      <w:r w:rsidR="00DD0229">
        <w:rPr>
          <w:rFonts w:hint="eastAsia"/>
        </w:rPr>
        <w:t>总人口上的覆盖率相对更加准确。</w:t>
      </w:r>
    </w:p>
    <w:p w14:paraId="16B90028" w14:textId="5247AA4A" w:rsidR="00A9107D" w:rsidRDefault="00A9107D"/>
    <w:p w14:paraId="6CEB5C65" w14:textId="77777777" w:rsidR="00A9107D" w:rsidRDefault="00A9107D" w:rsidP="00A9107D">
      <w:r>
        <w:t>The majority of the local health code registration data for each province was derived from reporting documents provided by the provincial health and hygiene committees. As the full rollout of health codes was seen as an indication of government performance at all levels in the early stages of the epidemic, a large number of reporting documents were published in March 2020 to demonstrate the results of the health code rollout in the province. However, this also meant that few statistics were published after the rollout was well underway, resulting in the collection of only the first half of the year 2020, which created a gap in the timeliness and accuracy of the data. However, on the positive side, as the most recent national census, the 7th census, also took place in 2020, the calculated coverage of the Health Code for the total population at that time is relatively more accurate in a similar time dimension.</w:t>
      </w:r>
    </w:p>
    <w:p w14:paraId="469C0E57" w14:textId="77777777" w:rsidR="006A0143" w:rsidRDefault="006A0143"/>
    <w:p w14:paraId="478D1D4D" w14:textId="1D5911B2" w:rsidR="00370452" w:rsidRDefault="006A0143" w:rsidP="003D24FE">
      <w:r>
        <w:rPr>
          <w:rFonts w:hint="eastAsia"/>
        </w:rPr>
        <w:t>第一张地图样式的数据可视化直观地以颜色的深浅和气泡的大小为媒介，展示了中国各地区的人口密度以及健康码在各地区的注册数量</w:t>
      </w:r>
      <w:r w:rsidR="003D24FE">
        <w:rPr>
          <w:rFonts w:hint="eastAsia"/>
        </w:rPr>
        <w:t>；而在柱形图样式的可视化中，通过并列地排列省份总人口与健康码覆盖人口，观众可以直观地看到各省份健康码的覆盖情况。在后续的数据收集中，我们加入了</w:t>
      </w:r>
      <w:r w:rsidR="00370452">
        <w:rPr>
          <w:rFonts w:hint="eastAsia"/>
        </w:rPr>
        <w:t>其他几个</w:t>
      </w:r>
      <w:r w:rsidR="003D24FE">
        <w:rPr>
          <w:rFonts w:hint="eastAsia"/>
        </w:rPr>
        <w:t>变量</w:t>
      </w:r>
      <w:r w:rsidR="00370452">
        <w:rPr>
          <w:rFonts w:hint="eastAsia"/>
        </w:rPr>
        <w:t>，试图找出与省份健康码覆盖率相关的因素。</w:t>
      </w:r>
    </w:p>
    <w:p w14:paraId="7D089681" w14:textId="4D82BF95" w:rsidR="00A9107D" w:rsidRDefault="00A9107D" w:rsidP="003D24FE"/>
    <w:p w14:paraId="2BFCA68C" w14:textId="77CCBB6F" w:rsidR="00A9107D" w:rsidRDefault="00A9107D" w:rsidP="003D24FE">
      <w:pPr>
        <w:rPr>
          <w:rFonts w:hint="eastAsia"/>
        </w:rPr>
      </w:pPr>
      <w:r w:rsidRPr="00A9107D">
        <w:t>The first map-style data visualisation visually shows the population density of each region of China and the number of health codes registered in each region, using shades of colour and the size of bubbles as a medium; while in the bar chart-style visualisation, by arranging the total population of provinces side by side with the population covered by health codes, the viewer can visualise the coverage of health codes in each province. In the subsequent data collection, several other variables were added in an attempt to identify factors associated with provincial health code coverage.</w:t>
      </w:r>
    </w:p>
    <w:p w14:paraId="0FD505E9" w14:textId="77777777" w:rsidR="00370452" w:rsidRDefault="00370452" w:rsidP="003D24FE"/>
    <w:p w14:paraId="19A62041" w14:textId="7E70923E" w:rsidR="006A0143" w:rsidRDefault="00370452">
      <w:r>
        <w:rPr>
          <w:rFonts w:hint="eastAsia"/>
        </w:rPr>
        <w:t>首先加入的变量是</w:t>
      </w:r>
      <w:r w:rsidR="00ED1D7A">
        <w:rPr>
          <w:rFonts w:hint="eastAsia"/>
        </w:rPr>
        <w:t>由联合国开发计划署出版的《2</w:t>
      </w:r>
      <w:r w:rsidR="00ED1D7A">
        <w:t>020</w:t>
      </w:r>
      <w:r w:rsidR="00ED1D7A">
        <w:rPr>
          <w:rFonts w:hint="eastAsia"/>
        </w:rPr>
        <w:t>中国人类发展报告》中发布的“人类发展指数”，</w:t>
      </w:r>
      <w:r>
        <w:rPr>
          <w:rFonts w:hint="eastAsia"/>
        </w:rPr>
        <w:t>我们将其</w:t>
      </w:r>
      <w:r w:rsidR="00ED1D7A">
        <w:rPr>
          <w:rFonts w:hint="eastAsia"/>
        </w:rPr>
        <w:t>作为衡量某一省份发达程度的代表性指数。</w:t>
      </w:r>
      <w:r w:rsidR="0098293B">
        <w:rPr>
          <w:rFonts w:hint="eastAsia"/>
        </w:rPr>
        <w:t>我们以该指数为依据重新排列了各省份的顺序，并加上了一个线形</w:t>
      </w:r>
      <w:proofErr w:type="gramStart"/>
      <w:r w:rsidR="0098293B">
        <w:rPr>
          <w:rFonts w:hint="eastAsia"/>
        </w:rPr>
        <w:t>图表来具现</w:t>
      </w:r>
      <w:proofErr w:type="gramEnd"/>
      <w:r w:rsidR="0098293B">
        <w:rPr>
          <w:rFonts w:hint="eastAsia"/>
        </w:rPr>
        <w:t>化各省份的发展程度，希望以此来同时证明各省份</w:t>
      </w:r>
      <w:r w:rsidR="001945CE">
        <w:rPr>
          <w:rFonts w:hint="eastAsia"/>
        </w:rPr>
        <w:t>发展程度与健康码覆盖率之间的关系。</w:t>
      </w:r>
      <w:r w:rsidR="000C6335">
        <w:rPr>
          <w:rFonts w:hint="eastAsia"/>
        </w:rPr>
        <w:t>从线形图上来看，似乎这两项变量间不呈相关性。</w:t>
      </w:r>
    </w:p>
    <w:p w14:paraId="657A89F2" w14:textId="290B0718" w:rsidR="00A9107D" w:rsidRDefault="00A9107D"/>
    <w:p w14:paraId="271BF910" w14:textId="3D61385C" w:rsidR="00A9107D" w:rsidRDefault="00A9107D">
      <w:pPr>
        <w:rPr>
          <w:rFonts w:hint="eastAsia"/>
        </w:rPr>
      </w:pPr>
      <w:r w:rsidRPr="00A9107D">
        <w:t xml:space="preserve">The first variable added was the Human Development Index (HDI) published in the UNDP Human Development Report 2020, which we used as a representative measure of the level of development of a province. We used this index as a basis for re-ordering the provinces and added a line graph to visualise the level of development of each province, hoping to demonstrate the relationship between the level of development and health code coverage in each province at the same time. </w:t>
      </w:r>
      <w:r w:rsidR="000C6335" w:rsidRPr="000C6335">
        <w:t>From the line graph, it appears that there is no correlation between these two variables.</w:t>
      </w:r>
    </w:p>
    <w:p w14:paraId="3B414796" w14:textId="41C579C1" w:rsidR="00C230A9" w:rsidRDefault="00321620">
      <w:r>
        <w:rPr>
          <w:noProof/>
        </w:rPr>
        <w:drawing>
          <wp:inline distT="0" distB="0" distL="0" distR="0" wp14:anchorId="566F0B8A" wp14:editId="674B95B4">
            <wp:extent cx="5341620" cy="1470660"/>
            <wp:effectExtent l="0" t="0" r="0" b="0"/>
            <wp:docPr id="4" name="图表 4">
              <a:extLst xmlns:a="http://schemas.openxmlformats.org/drawingml/2006/main">
                <a:ext uri="{FF2B5EF4-FFF2-40B4-BE49-F238E27FC236}">
                  <a16:creationId xmlns:a16="http://schemas.microsoft.com/office/drawing/2014/main" id="{7AA8EE3F-5DEA-34D5-6A52-760E7D4F8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FDCB302" w14:textId="60CC4205" w:rsidR="00370452" w:rsidRDefault="00370452"/>
    <w:p w14:paraId="170DA20B" w14:textId="4E546FF2" w:rsidR="00370452" w:rsidRDefault="00370452">
      <w:r>
        <w:rPr>
          <w:rFonts w:hint="eastAsia"/>
        </w:rPr>
        <w:t>其后，考虑到健康码的运作机制，我们收集了2</w:t>
      </w:r>
      <w:r>
        <w:t>020</w:t>
      </w:r>
      <w:r>
        <w:rPr>
          <w:rFonts w:hint="eastAsia"/>
        </w:rPr>
        <w:t>年各省份流动人口的数据，</w:t>
      </w:r>
      <w:r w:rsidR="00924D67">
        <w:rPr>
          <w:rFonts w:hint="eastAsia"/>
        </w:rPr>
        <w:t>并</w:t>
      </w:r>
      <w:r>
        <w:rPr>
          <w:rFonts w:hint="eastAsia"/>
        </w:rPr>
        <w:t>将其与健康码覆盖率分别用折线图表示。</w:t>
      </w:r>
      <w:r w:rsidR="000C6335">
        <w:rPr>
          <w:rFonts w:hint="eastAsia"/>
        </w:rPr>
        <w:t>从图表上看，这两个变量间则似乎呈一定的正相关倾向。</w:t>
      </w:r>
    </w:p>
    <w:p w14:paraId="25D3A3EA" w14:textId="7B389F3F" w:rsidR="00370452" w:rsidRDefault="000C6335">
      <w:r w:rsidRPr="000C6335">
        <w:t>Subsequently, taking into account the mechanism by which the health code operates, we collected data on the mobile population in each province for the year 2020 and presented it separately on a line graph with the health code coverage rate. From the graphs, there appears to be a certain positive tendency between these two variables.</w:t>
      </w:r>
      <w:r w:rsidR="00975BCE">
        <w:rPr>
          <w:noProof/>
        </w:rPr>
        <w:drawing>
          <wp:inline distT="0" distB="0" distL="0" distR="0" wp14:anchorId="438E9126" wp14:editId="61E1E63F">
            <wp:extent cx="5273040" cy="1303020"/>
            <wp:effectExtent l="0" t="0" r="3810" b="0"/>
            <wp:docPr id="1" name="图表 1">
              <a:extLst xmlns:a="http://schemas.openxmlformats.org/drawingml/2006/main">
                <a:ext uri="{FF2B5EF4-FFF2-40B4-BE49-F238E27FC236}">
                  <a16:creationId xmlns:a16="http://schemas.microsoft.com/office/drawing/2014/main" id="{90D9E378-DBAB-4B44-AB39-D944992895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A0810CC" w14:textId="56F98B62" w:rsidR="00C34DB3" w:rsidRDefault="00C34DB3"/>
    <w:p w14:paraId="39D930AE" w14:textId="0A4BFD58" w:rsidR="0072583D" w:rsidRDefault="00E85697" w:rsidP="00471A26">
      <w:pPr>
        <w:widowControl/>
        <w:shd w:val="clear" w:color="auto" w:fill="FFFFFF"/>
        <w:spacing w:line="360" w:lineRule="atLeast"/>
        <w:jc w:val="left"/>
        <w:rPr>
          <w:rFonts w:ascii="Helvetica" w:eastAsia="宋体" w:hAnsi="Helvetica" w:cs="Helvetica"/>
          <w:color w:val="333333"/>
          <w:kern w:val="0"/>
          <w:szCs w:val="21"/>
          <w:lang w:val="en-US"/>
        </w:rPr>
      </w:pPr>
      <w:r>
        <w:rPr>
          <w:rFonts w:hint="eastAsia"/>
        </w:rPr>
        <w:t>在收集了相关数据后，</w:t>
      </w:r>
      <w:r w:rsidR="000C6335">
        <w:rPr>
          <w:rFonts w:hint="eastAsia"/>
        </w:rPr>
        <w:t>为了得到更准确的结论，</w:t>
      </w:r>
      <w:r>
        <w:rPr>
          <w:rFonts w:hint="eastAsia"/>
        </w:rPr>
        <w:t>我们提出了两个假设，用以探究省份健康码覆盖率的影响因素：假设</w:t>
      </w:r>
      <w:proofErr w:type="gramStart"/>
      <w:r>
        <w:rPr>
          <w:rFonts w:hint="eastAsia"/>
        </w:rPr>
        <w:t>一</w:t>
      </w:r>
      <w:proofErr w:type="gramEnd"/>
      <w:r>
        <w:rPr>
          <w:rFonts w:hint="eastAsia"/>
        </w:rPr>
        <w:t>：“</w:t>
      </w:r>
      <w:r>
        <w:rPr>
          <w:rFonts w:hint="eastAsia"/>
        </w:rPr>
        <w:t>省份健康码覆盖率与省份</w:t>
      </w:r>
      <w:r>
        <w:rPr>
          <w:rFonts w:hint="eastAsia"/>
        </w:rPr>
        <w:t>人类发展指数</w:t>
      </w:r>
      <w:r w:rsidR="00471A26">
        <w:rPr>
          <w:rFonts w:hint="eastAsia"/>
        </w:rPr>
        <w:t>不</w:t>
      </w:r>
      <w:r w:rsidR="003D5714">
        <w:rPr>
          <w:rFonts w:hint="eastAsia"/>
        </w:rPr>
        <w:t>具有相关性</w:t>
      </w:r>
      <w:r>
        <w:rPr>
          <w:rFonts w:hint="eastAsia"/>
        </w:rPr>
        <w:t>”；假设二：“</w:t>
      </w:r>
      <w:r>
        <w:rPr>
          <w:rFonts w:hint="eastAsia"/>
        </w:rPr>
        <w:t>省份健康码覆盖率与省份流动人口数量</w:t>
      </w:r>
      <w:r w:rsidR="00471A26">
        <w:rPr>
          <w:rFonts w:hint="eastAsia"/>
        </w:rPr>
        <w:t>不</w:t>
      </w:r>
      <w:r w:rsidR="003D5714">
        <w:rPr>
          <w:rFonts w:hint="eastAsia"/>
        </w:rPr>
        <w:t>具有相关性</w:t>
      </w:r>
      <w:r>
        <w:rPr>
          <w:rFonts w:hint="eastAsia"/>
        </w:rPr>
        <w:t>”</w:t>
      </w:r>
      <w:r w:rsidR="0072583D">
        <w:rPr>
          <w:rFonts w:hint="eastAsia"/>
        </w:rPr>
        <w:t>。为了验证假设中提到的变量的相关性，我们采取了相关性分析的方法，计算了各变量间的</w:t>
      </w:r>
      <w:proofErr w:type="gramStart"/>
      <w:r w:rsidR="0072583D" w:rsidRPr="0072583D">
        <w:rPr>
          <w:rFonts w:hint="eastAsia"/>
        </w:rPr>
        <w:t>皮尔逊积矩相关系数</w:t>
      </w:r>
      <w:proofErr w:type="gramEnd"/>
      <w:r w:rsidR="0072583D">
        <w:rPr>
          <w:rFonts w:hint="eastAsia"/>
        </w:rPr>
        <w:t>（</w:t>
      </w:r>
      <w:r w:rsidR="0072583D">
        <w:rPr>
          <w:rFonts w:ascii="Roboto" w:hAnsi="Roboto"/>
          <w:color w:val="666666"/>
          <w:szCs w:val="21"/>
          <w:shd w:val="clear" w:color="auto" w:fill="FFFFFF"/>
        </w:rPr>
        <w:t>Pearson product-moment correlation coefficient</w:t>
      </w:r>
      <w:r w:rsidR="0072583D">
        <w:rPr>
          <w:rFonts w:hint="eastAsia"/>
        </w:rPr>
        <w:t>），并将获得的数值矩阵</w:t>
      </w:r>
      <w:proofErr w:type="gramStart"/>
      <w:r w:rsidR="0072583D">
        <w:rPr>
          <w:rFonts w:hint="eastAsia"/>
        </w:rPr>
        <w:t>通过热图直观</w:t>
      </w:r>
      <w:proofErr w:type="gramEnd"/>
      <w:r w:rsidR="0072583D">
        <w:rPr>
          <w:rFonts w:hint="eastAsia"/>
        </w:rPr>
        <w:t>地展示出来</w:t>
      </w:r>
      <w:r w:rsidR="00924D67">
        <w:rPr>
          <w:rFonts w:hint="eastAsia"/>
        </w:rPr>
        <w:t>（如下图）。在图中，各变量间的P-Value被标注在对应的方格上，以达到直观</w:t>
      </w:r>
      <w:r w:rsidR="00924D67">
        <w:rPr>
          <w:rFonts w:hint="eastAsia"/>
        </w:rPr>
        <w:lastRenderedPageBreak/>
        <w:t>的展示相关性的效果。</w:t>
      </w:r>
      <w:r w:rsidR="00AC7008" w:rsidRPr="00AC7008">
        <w:t>P值</w:t>
      </w:r>
      <w:r w:rsidR="00AC7008">
        <w:rPr>
          <w:rFonts w:hint="eastAsia"/>
        </w:rPr>
        <w:t>被定义为“</w:t>
      </w:r>
      <w:r w:rsidR="00AC7008" w:rsidRPr="00AC7008">
        <w:t>在一个概率模型中，统计摘要（如两组样本均值差）与实际观测数据相同，或甚至更大这一事件发生的概率</w:t>
      </w:r>
      <w:r w:rsidR="00AC7008">
        <w:rPr>
          <w:rFonts w:hint="eastAsia"/>
        </w:rPr>
        <w:t>”。</w:t>
      </w:r>
      <w:r w:rsidR="00471A26">
        <w:rPr>
          <w:rFonts w:hint="eastAsia"/>
        </w:rPr>
        <w:t>结合我们提出的假设</w:t>
      </w:r>
      <w:r w:rsidR="003D5714">
        <w:rPr>
          <w:rFonts w:hint="eastAsia"/>
        </w:rPr>
        <w:t>，如果计算出的</w:t>
      </w:r>
      <w:r w:rsidR="00AC7008" w:rsidRPr="00AC7008">
        <w:rPr>
          <w:rFonts w:ascii="Helvetica" w:eastAsia="宋体" w:hAnsi="Helvetica" w:cs="Helvetica"/>
          <w:color w:val="333333"/>
          <w:kern w:val="0"/>
          <w:szCs w:val="21"/>
          <w:lang w:val="en-US"/>
        </w:rPr>
        <w:t>P</w:t>
      </w:r>
      <w:r w:rsidR="00AC7008" w:rsidRPr="00AC7008">
        <w:rPr>
          <w:rFonts w:ascii="Helvetica" w:eastAsia="宋体" w:hAnsi="Helvetica" w:cs="Helvetica"/>
          <w:color w:val="333333"/>
          <w:kern w:val="0"/>
          <w:szCs w:val="21"/>
          <w:lang w:val="en-US"/>
        </w:rPr>
        <w:t>值</w:t>
      </w:r>
      <w:r w:rsidR="003D5714">
        <w:rPr>
          <w:rFonts w:ascii="Helvetica" w:eastAsia="宋体" w:hAnsi="Helvetica" w:cs="Helvetica" w:hint="eastAsia"/>
          <w:color w:val="333333"/>
          <w:kern w:val="0"/>
          <w:szCs w:val="21"/>
          <w:lang w:val="en-US"/>
        </w:rPr>
        <w:t>≤</w:t>
      </w:r>
      <w:r w:rsidR="00AC7008" w:rsidRPr="00AC7008">
        <w:rPr>
          <w:rFonts w:ascii="Helvetica" w:eastAsia="宋体" w:hAnsi="Helvetica" w:cs="Helvetica"/>
          <w:color w:val="333333"/>
          <w:kern w:val="0"/>
          <w:szCs w:val="21"/>
          <w:lang w:val="en-US"/>
        </w:rPr>
        <w:t>0.05</w:t>
      </w:r>
      <w:r w:rsidR="00AC7008" w:rsidRPr="00AC7008">
        <w:rPr>
          <w:rFonts w:ascii="Helvetica" w:eastAsia="宋体" w:hAnsi="Helvetica" w:cs="Helvetica"/>
          <w:color w:val="333333"/>
          <w:kern w:val="0"/>
          <w:szCs w:val="21"/>
          <w:lang w:val="en-US"/>
        </w:rPr>
        <w:t>，</w:t>
      </w:r>
      <w:r w:rsidR="003D5714">
        <w:rPr>
          <w:rFonts w:ascii="Helvetica" w:eastAsia="宋体" w:hAnsi="Helvetica" w:cs="Helvetica" w:hint="eastAsia"/>
          <w:color w:val="333333"/>
          <w:kern w:val="0"/>
          <w:szCs w:val="21"/>
          <w:lang w:val="en-US"/>
        </w:rPr>
        <w:t>则意味着该两项变量之间</w:t>
      </w:r>
      <w:r w:rsidR="00471A26">
        <w:rPr>
          <w:rFonts w:ascii="Helvetica" w:eastAsia="宋体" w:hAnsi="Helvetica" w:cs="Helvetica" w:hint="eastAsia"/>
          <w:color w:val="333333"/>
          <w:kern w:val="0"/>
          <w:szCs w:val="21"/>
          <w:lang w:val="en-US"/>
        </w:rPr>
        <w:t>不</w:t>
      </w:r>
      <w:r w:rsidR="003D5714">
        <w:rPr>
          <w:rFonts w:ascii="Helvetica" w:eastAsia="宋体" w:hAnsi="Helvetica" w:cs="Helvetica" w:hint="eastAsia"/>
          <w:color w:val="333333"/>
          <w:kern w:val="0"/>
          <w:szCs w:val="21"/>
          <w:lang w:val="en-US"/>
        </w:rPr>
        <w:t>具有相关性。</w:t>
      </w:r>
      <w:r w:rsidR="003D5714" w:rsidRPr="00AC7008">
        <w:rPr>
          <w:rFonts w:ascii="Helvetica" w:eastAsia="宋体" w:hAnsi="Helvetica" w:cs="Helvetica"/>
          <w:color w:val="333333"/>
          <w:kern w:val="0"/>
          <w:szCs w:val="21"/>
          <w:lang w:val="en-US"/>
        </w:rPr>
        <w:t xml:space="preserve"> </w:t>
      </w:r>
      <w:r w:rsidR="0098684B">
        <w:rPr>
          <w:rFonts w:ascii="Helvetica" w:eastAsia="宋体" w:hAnsi="Helvetica" w:cs="Helvetica" w:hint="eastAsia"/>
          <w:color w:val="333333"/>
          <w:kern w:val="0"/>
          <w:szCs w:val="21"/>
          <w:lang w:val="en-US"/>
        </w:rPr>
        <w:t>从数据结果来看，人类发展指数与健康码覆盖率之间的</w:t>
      </w:r>
      <w:r w:rsidR="0098684B">
        <w:rPr>
          <w:rFonts w:ascii="Helvetica" w:eastAsia="宋体" w:hAnsi="Helvetica" w:cs="Helvetica" w:hint="eastAsia"/>
          <w:color w:val="333333"/>
          <w:kern w:val="0"/>
          <w:szCs w:val="21"/>
          <w:lang w:val="en-US"/>
        </w:rPr>
        <w:t>p</w:t>
      </w:r>
      <w:r w:rsidR="0098684B">
        <w:rPr>
          <w:rFonts w:ascii="Helvetica" w:eastAsia="宋体" w:hAnsi="Helvetica" w:cs="Helvetica" w:hint="eastAsia"/>
          <w:color w:val="333333"/>
          <w:kern w:val="0"/>
          <w:szCs w:val="21"/>
          <w:lang w:val="en-US"/>
        </w:rPr>
        <w:t>值是</w:t>
      </w:r>
      <w:r w:rsidR="0098684B">
        <w:rPr>
          <w:rFonts w:ascii="Helvetica" w:eastAsia="宋体" w:hAnsi="Helvetica" w:cs="Helvetica" w:hint="eastAsia"/>
          <w:color w:val="333333"/>
          <w:kern w:val="0"/>
          <w:szCs w:val="21"/>
          <w:lang w:val="en-US"/>
        </w:rPr>
        <w:t>0</w:t>
      </w:r>
      <w:r w:rsidR="0098684B">
        <w:rPr>
          <w:rFonts w:ascii="Helvetica" w:eastAsia="宋体" w:hAnsi="Helvetica" w:cs="Helvetica"/>
          <w:color w:val="333333"/>
          <w:kern w:val="0"/>
          <w:szCs w:val="21"/>
          <w:lang w:val="en-US"/>
        </w:rPr>
        <w:t>.02</w:t>
      </w:r>
      <w:r w:rsidR="0098684B">
        <w:rPr>
          <w:rFonts w:ascii="Helvetica" w:eastAsia="宋体" w:hAnsi="Helvetica" w:cs="Helvetica" w:hint="eastAsia"/>
          <w:color w:val="333333"/>
          <w:kern w:val="0"/>
          <w:szCs w:val="21"/>
          <w:lang w:val="en-US"/>
        </w:rPr>
        <w:t>，意味着人类发展指数与健康码覆盖率之间</w:t>
      </w:r>
      <w:r w:rsidR="00471A26">
        <w:rPr>
          <w:rFonts w:ascii="Helvetica" w:eastAsia="宋体" w:hAnsi="Helvetica" w:cs="Helvetica" w:hint="eastAsia"/>
          <w:color w:val="333333"/>
          <w:kern w:val="0"/>
          <w:szCs w:val="21"/>
          <w:lang w:val="en-US"/>
        </w:rPr>
        <w:t>无</w:t>
      </w:r>
      <w:r w:rsidR="0098684B">
        <w:rPr>
          <w:rFonts w:ascii="Helvetica" w:eastAsia="宋体" w:hAnsi="Helvetica" w:cs="Helvetica" w:hint="eastAsia"/>
          <w:color w:val="333333"/>
          <w:kern w:val="0"/>
          <w:szCs w:val="21"/>
          <w:lang w:val="en-US"/>
        </w:rPr>
        <w:t>相关性；而流动人口数量与健康码覆盖率之间的</w:t>
      </w:r>
      <w:r w:rsidR="0098684B">
        <w:rPr>
          <w:rFonts w:ascii="Helvetica" w:eastAsia="宋体" w:hAnsi="Helvetica" w:cs="Helvetica" w:hint="eastAsia"/>
          <w:color w:val="333333"/>
          <w:kern w:val="0"/>
          <w:szCs w:val="21"/>
          <w:lang w:val="en-US"/>
        </w:rPr>
        <w:t>p</w:t>
      </w:r>
      <w:r w:rsidR="0098684B">
        <w:rPr>
          <w:rFonts w:ascii="Helvetica" w:eastAsia="宋体" w:hAnsi="Helvetica" w:cs="Helvetica" w:hint="eastAsia"/>
          <w:color w:val="333333"/>
          <w:kern w:val="0"/>
          <w:szCs w:val="21"/>
          <w:lang w:val="en-US"/>
        </w:rPr>
        <w:t>值为</w:t>
      </w:r>
      <w:r w:rsidR="0098684B">
        <w:rPr>
          <w:rFonts w:ascii="Helvetica" w:eastAsia="宋体" w:hAnsi="Helvetica" w:cs="Helvetica" w:hint="eastAsia"/>
          <w:color w:val="333333"/>
          <w:kern w:val="0"/>
          <w:szCs w:val="21"/>
          <w:lang w:val="en-US"/>
        </w:rPr>
        <w:t>0</w:t>
      </w:r>
      <w:r w:rsidR="0098684B">
        <w:rPr>
          <w:rFonts w:ascii="Helvetica" w:eastAsia="宋体" w:hAnsi="Helvetica" w:cs="Helvetica"/>
          <w:color w:val="333333"/>
          <w:kern w:val="0"/>
          <w:szCs w:val="21"/>
          <w:lang w:val="en-US"/>
        </w:rPr>
        <w:t>.19</w:t>
      </w:r>
      <w:r w:rsidR="0098684B">
        <w:rPr>
          <w:rFonts w:ascii="Helvetica" w:eastAsia="宋体" w:hAnsi="Helvetica" w:cs="Helvetica" w:hint="eastAsia"/>
          <w:color w:val="333333"/>
          <w:kern w:val="0"/>
          <w:szCs w:val="21"/>
          <w:lang w:val="en-US"/>
        </w:rPr>
        <w:t>，意味着这两项变量间</w:t>
      </w:r>
      <w:r w:rsidR="00471A26">
        <w:rPr>
          <w:rFonts w:ascii="Helvetica" w:eastAsia="宋体" w:hAnsi="Helvetica" w:cs="Helvetica" w:hint="eastAsia"/>
          <w:color w:val="333333"/>
          <w:kern w:val="0"/>
          <w:szCs w:val="21"/>
          <w:lang w:val="en-US"/>
        </w:rPr>
        <w:t>有一定的</w:t>
      </w:r>
      <w:r w:rsidR="0098684B">
        <w:rPr>
          <w:rFonts w:ascii="Helvetica" w:eastAsia="宋体" w:hAnsi="Helvetica" w:cs="Helvetica" w:hint="eastAsia"/>
          <w:color w:val="333333"/>
          <w:kern w:val="0"/>
          <w:szCs w:val="21"/>
          <w:lang w:val="en-US"/>
        </w:rPr>
        <w:t>相关性。</w:t>
      </w:r>
      <w:r w:rsidR="0098684B">
        <w:rPr>
          <w:rFonts w:ascii="Helvetica" w:eastAsia="宋体" w:hAnsi="Helvetica" w:cs="Helvetica" w:hint="eastAsia"/>
          <w:color w:val="333333"/>
          <w:kern w:val="0"/>
          <w:szCs w:val="21"/>
          <w:lang w:val="en-US"/>
        </w:rPr>
        <w:t xml:space="preserve"> </w:t>
      </w:r>
    </w:p>
    <w:p w14:paraId="567C9FC0" w14:textId="3D67C1D8" w:rsidR="000E40A7" w:rsidRDefault="000E40A7" w:rsidP="00471A26">
      <w:pPr>
        <w:widowControl/>
        <w:shd w:val="clear" w:color="auto" w:fill="FFFFFF"/>
        <w:spacing w:line="360" w:lineRule="atLeast"/>
        <w:jc w:val="left"/>
        <w:rPr>
          <w:rFonts w:ascii="Helvetica" w:eastAsia="宋体" w:hAnsi="Helvetica" w:cs="Helvetica"/>
          <w:color w:val="333333"/>
          <w:kern w:val="0"/>
          <w:szCs w:val="21"/>
          <w:lang w:val="en-US"/>
        </w:rPr>
      </w:pPr>
    </w:p>
    <w:p w14:paraId="7AE00F81" w14:textId="18D11070" w:rsidR="00471A26" w:rsidRDefault="000C6335">
      <w:pPr>
        <w:rPr>
          <w:noProof/>
        </w:rPr>
      </w:pPr>
      <w:r w:rsidRPr="000C6335">
        <w:rPr>
          <w:rFonts w:ascii="Helvetica" w:eastAsia="宋体" w:hAnsi="Helvetica" w:cs="Helvetica"/>
          <w:color w:val="333333"/>
          <w:kern w:val="0"/>
          <w:szCs w:val="21"/>
          <w:lang w:val="en-US"/>
        </w:rPr>
        <w:t xml:space="preserve">After collecting the relevant data, two hypotheses were formulated to explore the factors influencing the provincial health code coverage in order to draw more accurate conclusions: Hypothesis 1: "Provincial health code coverage is not correlated with the provincial human development index"; Hypothesis 2: "Provincial health code coverage is correlated with number of mobile </w:t>
      </w:r>
      <w:proofErr w:type="gramStart"/>
      <w:r w:rsidRPr="000C6335">
        <w:rPr>
          <w:rFonts w:ascii="Helvetica" w:eastAsia="宋体" w:hAnsi="Helvetica" w:cs="Helvetica"/>
          <w:color w:val="333333"/>
          <w:kern w:val="0"/>
          <w:szCs w:val="21"/>
          <w:lang w:val="en-US"/>
        </w:rPr>
        <w:t>population</w:t>
      </w:r>
      <w:proofErr w:type="gramEnd"/>
      <w:r w:rsidRPr="000C6335">
        <w:rPr>
          <w:rFonts w:ascii="Helvetica" w:eastAsia="宋体" w:hAnsi="Helvetica" w:cs="Helvetica"/>
          <w:color w:val="333333"/>
          <w:kern w:val="0"/>
          <w:szCs w:val="21"/>
          <w:lang w:val="en-US"/>
        </w:rPr>
        <w:t xml:space="preserve"> in the province is not correlated". In order to verify the correlation of the variables mentioned in the hypothesis, we took the method of correlation analysis and calculated the Pearson product-moment correlation coefficient</w:t>
      </w:r>
      <w:r>
        <w:rPr>
          <w:rFonts w:ascii="Helvetica" w:eastAsia="宋体" w:hAnsi="Helvetica" w:cs="Helvetica" w:hint="eastAsia"/>
          <w:color w:val="333333"/>
          <w:kern w:val="0"/>
          <w:szCs w:val="21"/>
          <w:lang w:val="en-US"/>
        </w:rPr>
        <w:t>（</w:t>
      </w:r>
      <w:r>
        <w:rPr>
          <w:rFonts w:ascii="Roboto" w:hAnsi="Roboto"/>
          <w:color w:val="666666"/>
          <w:szCs w:val="21"/>
          <w:shd w:val="clear" w:color="auto" w:fill="FFFFFF"/>
        </w:rPr>
        <w:t>PPMCC</w:t>
      </w:r>
      <w:r>
        <w:rPr>
          <w:rFonts w:ascii="Helvetica" w:eastAsia="宋体" w:hAnsi="Helvetica" w:cs="Helvetica" w:hint="eastAsia"/>
          <w:color w:val="333333"/>
          <w:kern w:val="0"/>
          <w:szCs w:val="21"/>
          <w:lang w:val="en-US"/>
        </w:rPr>
        <w:t>）</w:t>
      </w:r>
      <w:r w:rsidRPr="000C6335">
        <w:rPr>
          <w:rFonts w:ascii="Helvetica" w:eastAsia="宋体" w:hAnsi="Helvetica" w:cs="Helvetica"/>
          <w:color w:val="333333"/>
          <w:kern w:val="0"/>
          <w:szCs w:val="21"/>
          <w:lang w:val="en-US"/>
        </w:rPr>
        <w:t xml:space="preserve"> between the variables and </w:t>
      </w:r>
      <w:proofErr w:type="spellStart"/>
      <w:r w:rsidRPr="000C6335">
        <w:rPr>
          <w:rFonts w:ascii="Helvetica" w:eastAsia="宋体" w:hAnsi="Helvetica" w:cs="Helvetica"/>
          <w:color w:val="333333"/>
          <w:kern w:val="0"/>
          <w:szCs w:val="21"/>
          <w:lang w:val="en-US"/>
        </w:rPr>
        <w:t>visualised</w:t>
      </w:r>
      <w:proofErr w:type="spellEnd"/>
      <w:r w:rsidRPr="000C6335">
        <w:rPr>
          <w:rFonts w:ascii="Helvetica" w:eastAsia="宋体" w:hAnsi="Helvetica" w:cs="Helvetica"/>
          <w:color w:val="333333"/>
          <w:kern w:val="0"/>
          <w:szCs w:val="21"/>
          <w:lang w:val="en-US"/>
        </w:rPr>
        <w:t xml:space="preserve"> the matrix of values obtained through a heat map (figure below). The P-value is defined as "the probability of an event occurring in a probabilistic model in which the summary statistic (</w:t>
      </w:r>
      <w:proofErr w:type="gramStart"/>
      <w:r w:rsidRPr="000C6335">
        <w:rPr>
          <w:rFonts w:ascii="Helvetica" w:eastAsia="宋体" w:hAnsi="Helvetica" w:cs="Helvetica"/>
          <w:color w:val="333333"/>
          <w:kern w:val="0"/>
          <w:szCs w:val="21"/>
          <w:lang w:val="en-US"/>
        </w:rPr>
        <w:t>e.g.</w:t>
      </w:r>
      <w:proofErr w:type="gramEnd"/>
      <w:r w:rsidRPr="000C6335">
        <w:rPr>
          <w:rFonts w:ascii="Helvetica" w:eastAsia="宋体" w:hAnsi="Helvetica" w:cs="Helvetica"/>
          <w:color w:val="333333"/>
          <w:kern w:val="0"/>
          <w:szCs w:val="21"/>
          <w:lang w:val="en-US"/>
        </w:rPr>
        <w:t xml:space="preserve"> the difference between two sample means) is the same as, or greater than, the actual observed data". In conjunction with our hypothesis, a calculated p-value of ≤0.05 means that the two variables are not correlated. From the data results, the p-value between HDI and health code coverage is 0.02, implying no correlation between HDI and health code coverage, while the p-value between the number of mobile population and health code coverage is 0.19, implying some correlation between these two variables.</w:t>
      </w:r>
      <w:r w:rsidR="00471A26">
        <w:rPr>
          <w:noProof/>
        </w:rPr>
        <w:drawing>
          <wp:inline distT="0" distB="0" distL="0" distR="0" wp14:anchorId="5288C325" wp14:editId="1FA147FA">
            <wp:extent cx="3679618" cy="2301240"/>
            <wp:effectExtent l="0" t="0" r="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980" t="8905" r="10023" b="8617"/>
                    <a:stretch/>
                  </pic:blipFill>
                  <pic:spPr bwMode="auto">
                    <a:xfrm>
                      <a:off x="0" y="0"/>
                      <a:ext cx="3701676" cy="2315035"/>
                    </a:xfrm>
                    <a:prstGeom prst="rect">
                      <a:avLst/>
                    </a:prstGeom>
                    <a:ln>
                      <a:noFill/>
                    </a:ln>
                    <a:extLst>
                      <a:ext uri="{53640926-AAD7-44D8-BBD7-CCE9431645EC}">
                        <a14:shadowObscured xmlns:a14="http://schemas.microsoft.com/office/drawing/2010/main"/>
                      </a:ext>
                    </a:extLst>
                  </pic:spPr>
                </pic:pic>
              </a:graphicData>
            </a:graphic>
          </wp:inline>
        </w:drawing>
      </w:r>
    </w:p>
    <w:p w14:paraId="3E652178" w14:textId="5E2EBE20" w:rsidR="00C34DB3" w:rsidRDefault="00C34DB3">
      <w:pPr>
        <w:rPr>
          <w:rFonts w:hint="eastAsia"/>
        </w:rPr>
      </w:pPr>
    </w:p>
    <w:p w14:paraId="4525A075" w14:textId="25014419" w:rsidR="00C230A9" w:rsidRDefault="000C6335">
      <w:pPr>
        <w:rPr>
          <w:rFonts w:hint="eastAsia"/>
        </w:rPr>
      </w:pPr>
      <w:r>
        <w:rPr>
          <w:rFonts w:hint="eastAsia"/>
        </w:rPr>
        <w:t>综上所述，通过收集中国各省级行政区划健康码的覆盖情况数据</w:t>
      </w:r>
      <w:r w:rsidR="00563075">
        <w:rPr>
          <w:rFonts w:hint="eastAsia"/>
        </w:rPr>
        <w:t>并将其可视化，我们不仅直观地展示出了健康</w:t>
      </w:r>
      <w:proofErr w:type="gramStart"/>
      <w:r w:rsidR="00563075">
        <w:rPr>
          <w:rFonts w:hint="eastAsia"/>
        </w:rPr>
        <w:t>码机制</w:t>
      </w:r>
      <w:proofErr w:type="gramEnd"/>
      <w:r w:rsidR="00563075">
        <w:rPr>
          <w:rFonts w:hint="eastAsia"/>
        </w:rPr>
        <w:t>在中国范围内的普及程度，更以此为基础探究了两个可能的影响健康码覆盖率的因素，分别是</w:t>
      </w:r>
      <w:r w:rsidR="006A57F1">
        <w:rPr>
          <w:rFonts w:hint="eastAsia"/>
        </w:rPr>
        <w:t>省份的</w:t>
      </w:r>
      <w:r w:rsidR="00563075">
        <w:rPr>
          <w:rFonts w:hint="eastAsia"/>
        </w:rPr>
        <w:t>人类发展指数和流动人口数</w:t>
      </w:r>
      <w:r w:rsidR="006A57F1">
        <w:rPr>
          <w:rFonts w:hint="eastAsia"/>
        </w:rPr>
        <w:t>。分析结果表明，人类发展指数的高低并不能对健康码覆盖率产生影响；而流动人口数则能够影响健康码的覆盖率。</w:t>
      </w:r>
    </w:p>
    <w:p w14:paraId="46A9F8B8" w14:textId="2DC8D92E" w:rsidR="00C230A9" w:rsidRPr="00C230A9" w:rsidRDefault="006A57F1">
      <w:r w:rsidRPr="006A57F1">
        <w:t xml:space="preserve">In summary, by collecting and visualising data on the coverage of health codes at the provincial level in China, we not only visualised the prevalence of the health code mechanism in China, but also explored two possible factors that could influence the coverage of health </w:t>
      </w:r>
      <w:r w:rsidRPr="006A57F1">
        <w:lastRenderedPageBreak/>
        <w:t xml:space="preserve">codes, namely the human development index (HDI) and the number of mobile </w:t>
      </w:r>
      <w:proofErr w:type="gramStart"/>
      <w:r w:rsidRPr="006A57F1">
        <w:t>population</w:t>
      </w:r>
      <w:proofErr w:type="gramEnd"/>
      <w:r w:rsidRPr="006A57F1">
        <w:t xml:space="preserve"> in the province. The results of this analysis show that the HDI does not influence the coverage of health codes, while the number of mobile </w:t>
      </w:r>
      <w:proofErr w:type="gramStart"/>
      <w:r w:rsidRPr="006A57F1">
        <w:t>population</w:t>
      </w:r>
      <w:proofErr w:type="gramEnd"/>
      <w:r w:rsidRPr="006A57F1">
        <w:t xml:space="preserve"> influences the coverage of health codes.</w:t>
      </w:r>
    </w:p>
    <w:sectPr w:rsidR="00C230A9" w:rsidRPr="00C23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Roboto">
    <w:charset w:val="00"/>
    <w:family w:val="auto"/>
    <w:pitch w:val="variable"/>
    <w:sig w:usb0="E00002FF" w:usb1="5000205B" w:usb2="0000002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8D"/>
    <w:rsid w:val="000C6335"/>
    <w:rsid w:val="000E40A7"/>
    <w:rsid w:val="001945CE"/>
    <w:rsid w:val="00321620"/>
    <w:rsid w:val="0034545D"/>
    <w:rsid w:val="00370452"/>
    <w:rsid w:val="00383B8D"/>
    <w:rsid w:val="003D24FE"/>
    <w:rsid w:val="003D5714"/>
    <w:rsid w:val="00471A26"/>
    <w:rsid w:val="00563075"/>
    <w:rsid w:val="00682650"/>
    <w:rsid w:val="006A0143"/>
    <w:rsid w:val="006A57F1"/>
    <w:rsid w:val="007010A3"/>
    <w:rsid w:val="0072583D"/>
    <w:rsid w:val="007476AB"/>
    <w:rsid w:val="008802F4"/>
    <w:rsid w:val="00924D67"/>
    <w:rsid w:val="009676C1"/>
    <w:rsid w:val="00975BCE"/>
    <w:rsid w:val="0098293B"/>
    <w:rsid w:val="0098684B"/>
    <w:rsid w:val="00A9107D"/>
    <w:rsid w:val="00AC7008"/>
    <w:rsid w:val="00C230A9"/>
    <w:rsid w:val="00C34DB3"/>
    <w:rsid w:val="00CC26B8"/>
    <w:rsid w:val="00D1784D"/>
    <w:rsid w:val="00D500E0"/>
    <w:rsid w:val="00D65B01"/>
    <w:rsid w:val="00DD0229"/>
    <w:rsid w:val="00E85697"/>
    <w:rsid w:val="00ED1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7198"/>
  <w15:chartTrackingRefBased/>
  <w15:docId w15:val="{9A8CBD5C-E5D2-4D91-87BA-45CF48F6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84184">
      <w:bodyDiv w:val="1"/>
      <w:marLeft w:val="0"/>
      <w:marRight w:val="0"/>
      <w:marTop w:val="0"/>
      <w:marBottom w:val="0"/>
      <w:divBdr>
        <w:top w:val="none" w:sz="0" w:space="0" w:color="auto"/>
        <w:left w:val="none" w:sz="0" w:space="0" w:color="auto"/>
        <w:bottom w:val="none" w:sz="0" w:space="0" w:color="auto"/>
        <w:right w:val="none" w:sz="0" w:space="0" w:color="auto"/>
      </w:divBdr>
      <w:divsChild>
        <w:div w:id="2009549943">
          <w:marLeft w:val="0"/>
          <w:marRight w:val="0"/>
          <w:marTop w:val="0"/>
          <w:marBottom w:val="225"/>
          <w:divBdr>
            <w:top w:val="none" w:sz="0" w:space="0" w:color="auto"/>
            <w:left w:val="none" w:sz="0" w:space="0" w:color="auto"/>
            <w:bottom w:val="none" w:sz="0" w:space="0" w:color="auto"/>
            <w:right w:val="none" w:sz="0" w:space="0" w:color="auto"/>
          </w:divBdr>
        </w:div>
        <w:div w:id="384069208">
          <w:marLeft w:val="0"/>
          <w:marRight w:val="0"/>
          <w:marTop w:val="0"/>
          <w:marBottom w:val="225"/>
          <w:divBdr>
            <w:top w:val="none" w:sz="0" w:space="0" w:color="auto"/>
            <w:left w:val="none" w:sz="0" w:space="0" w:color="auto"/>
            <w:bottom w:val="none" w:sz="0" w:space="0" w:color="auto"/>
            <w:right w:val="none" w:sz="0" w:space="0" w:color="auto"/>
          </w:divBdr>
        </w:div>
        <w:div w:id="1508448008">
          <w:marLeft w:val="0"/>
          <w:marRight w:val="0"/>
          <w:marTop w:val="0"/>
          <w:marBottom w:val="225"/>
          <w:divBdr>
            <w:top w:val="none" w:sz="0" w:space="0" w:color="auto"/>
            <w:left w:val="none" w:sz="0" w:space="0" w:color="auto"/>
            <w:bottom w:val="none" w:sz="0" w:space="0" w:color="auto"/>
            <w:right w:val="none" w:sz="0" w:space="0" w:color="auto"/>
          </w:divBdr>
        </w:div>
      </w:divsChild>
    </w:div>
    <w:div w:id="1177185441">
      <w:bodyDiv w:val="1"/>
      <w:marLeft w:val="0"/>
      <w:marRight w:val="0"/>
      <w:marTop w:val="0"/>
      <w:marBottom w:val="0"/>
      <w:divBdr>
        <w:top w:val="none" w:sz="0" w:space="0" w:color="auto"/>
        <w:left w:val="none" w:sz="0" w:space="0" w:color="auto"/>
        <w:bottom w:val="none" w:sz="0" w:space="0" w:color="auto"/>
        <w:right w:val="none" w:sz="0" w:space="0" w:color="auto"/>
      </w:divBdr>
    </w:div>
    <w:div w:id="14357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E:\MA\5780M%20Digital%20Practices\Health%20Code%20Coverage%20data%20by%20provienc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A\5780M%20Digital%20Practices\Health%20Code%20Coverage%20data%20by%20provienc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Sheet1!$D$1</c:f>
              <c:strCache>
                <c:ptCount val="1"/>
                <c:pt idx="0">
                  <c:v>Health Code Cover Rate</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Sheet1!$A$2:$A$34</c:f>
              <c:strCache>
                <c:ptCount val="33"/>
                <c:pt idx="0">
                  <c:v>Xianggang</c:v>
                </c:pt>
                <c:pt idx="1">
                  <c:v>Aomen</c:v>
                </c:pt>
                <c:pt idx="2">
                  <c:v>Beijing</c:v>
                </c:pt>
                <c:pt idx="3">
                  <c:v>Shanghai</c:v>
                </c:pt>
                <c:pt idx="4">
                  <c:v>Tianjin</c:v>
                </c:pt>
                <c:pt idx="5">
                  <c:v>Jiangsu</c:v>
                </c:pt>
                <c:pt idx="6">
                  <c:v>Guangdong</c:v>
                </c:pt>
                <c:pt idx="7">
                  <c:v>Zhejiang</c:v>
                </c:pt>
                <c:pt idx="8">
                  <c:v>Liaoning</c:v>
                </c:pt>
                <c:pt idx="9">
                  <c:v>Neimenggu</c:v>
                </c:pt>
                <c:pt idx="10">
                  <c:v>Jilin</c:v>
                </c:pt>
                <c:pt idx="11">
                  <c:v>Shandong</c:v>
                </c:pt>
                <c:pt idx="12">
                  <c:v>Fujian</c:v>
                </c:pt>
                <c:pt idx="13">
                  <c:v>Hubei</c:v>
                </c:pt>
                <c:pt idx="14">
                  <c:v>Chongqing</c:v>
                </c:pt>
                <c:pt idx="15">
                  <c:v>Shannxi</c:v>
                </c:pt>
                <c:pt idx="16">
                  <c:v>Hunan</c:v>
                </c:pt>
                <c:pt idx="17">
                  <c:v>Shanxi</c:v>
                </c:pt>
                <c:pt idx="18">
                  <c:v>Hainan</c:v>
                </c:pt>
                <c:pt idx="19">
                  <c:v>Heilongjiang</c:v>
                </c:pt>
                <c:pt idx="20">
                  <c:v>Ningxia</c:v>
                </c:pt>
                <c:pt idx="21">
                  <c:v>Hebei</c:v>
                </c:pt>
                <c:pt idx="22">
                  <c:v>Henan</c:v>
                </c:pt>
                <c:pt idx="23">
                  <c:v>Xinjiang</c:v>
                </c:pt>
                <c:pt idx="24">
                  <c:v>Jiangxi</c:v>
                </c:pt>
                <c:pt idx="25">
                  <c:v>Guangxi</c:v>
                </c:pt>
                <c:pt idx="26">
                  <c:v>Anhui</c:v>
                </c:pt>
                <c:pt idx="27">
                  <c:v>Sichuan</c:v>
                </c:pt>
                <c:pt idx="28">
                  <c:v>Gansu</c:v>
                </c:pt>
                <c:pt idx="29">
                  <c:v>Qinghai</c:v>
                </c:pt>
                <c:pt idx="30">
                  <c:v>Guizhou</c:v>
                </c:pt>
                <c:pt idx="31">
                  <c:v>Yunnan</c:v>
                </c:pt>
                <c:pt idx="32">
                  <c:v>Xizang</c:v>
                </c:pt>
              </c:strCache>
            </c:strRef>
          </c:cat>
          <c:val>
            <c:numRef>
              <c:f>Sheet1!$D$2:$D$34</c:f>
              <c:numCache>
                <c:formatCode>0.000_ </c:formatCode>
                <c:ptCount val="33"/>
                <c:pt idx="0">
                  <c:v>0.81081081081081074</c:v>
                </c:pt>
                <c:pt idx="1">
                  <c:v>0.7142857142857143</c:v>
                </c:pt>
                <c:pt idx="2">
                  <c:v>1.5981735159817352</c:v>
                </c:pt>
                <c:pt idx="3">
                  <c:v>1.3654618473895581</c:v>
                </c:pt>
                <c:pt idx="4">
                  <c:v>1.2949640287769786</c:v>
                </c:pt>
                <c:pt idx="5">
                  <c:v>0.47995283018867924</c:v>
                </c:pt>
                <c:pt idx="6">
                  <c:v>1.4761904761904763</c:v>
                </c:pt>
                <c:pt idx="7">
                  <c:v>0.15455950540958269</c:v>
                </c:pt>
                <c:pt idx="8">
                  <c:v>0.46948356807511737</c:v>
                </c:pt>
                <c:pt idx="9">
                  <c:v>0.47916666666666663</c:v>
                </c:pt>
                <c:pt idx="10">
                  <c:v>0.15416666666666667</c:v>
                </c:pt>
                <c:pt idx="11">
                  <c:v>0.47058823529411764</c:v>
                </c:pt>
                <c:pt idx="12">
                  <c:v>0.69711538461538458</c:v>
                </c:pt>
                <c:pt idx="13">
                  <c:v>0.48083623693379784</c:v>
                </c:pt>
                <c:pt idx="14">
                  <c:v>0.37383177570093457</c:v>
                </c:pt>
                <c:pt idx="15">
                  <c:v>0.50505050505050508</c:v>
                </c:pt>
                <c:pt idx="16">
                  <c:v>0.18345864661654135</c:v>
                </c:pt>
                <c:pt idx="17">
                  <c:v>0.24355300859598852</c:v>
                </c:pt>
                <c:pt idx="18">
                  <c:v>0.49504950495049505</c:v>
                </c:pt>
                <c:pt idx="19">
                  <c:v>0.46687697160883279</c:v>
                </c:pt>
                <c:pt idx="20">
                  <c:v>0.68055555555555558</c:v>
                </c:pt>
                <c:pt idx="21">
                  <c:v>0.64343163538873993</c:v>
                </c:pt>
                <c:pt idx="22">
                  <c:v>0.7002012072434608</c:v>
                </c:pt>
                <c:pt idx="23">
                  <c:v>0.47876447876447881</c:v>
                </c:pt>
                <c:pt idx="24">
                  <c:v>0.47787610619469034</c:v>
                </c:pt>
                <c:pt idx="25">
                  <c:v>0.89641434262948216</c:v>
                </c:pt>
                <c:pt idx="26">
                  <c:v>0.49180327868852464</c:v>
                </c:pt>
                <c:pt idx="27">
                  <c:v>0.71684587813620082</c:v>
                </c:pt>
                <c:pt idx="28">
                  <c:v>0.48</c:v>
                </c:pt>
                <c:pt idx="29">
                  <c:v>0.1864406779661017</c:v>
                </c:pt>
                <c:pt idx="30">
                  <c:v>1.1688311688311688</c:v>
                </c:pt>
                <c:pt idx="31">
                  <c:v>0.48093220338983056</c:v>
                </c:pt>
                <c:pt idx="32">
                  <c:v>0.81081081081081074</c:v>
                </c:pt>
              </c:numCache>
            </c:numRef>
          </c:val>
          <c:smooth val="0"/>
          <c:extLst>
            <c:ext xmlns:c16="http://schemas.microsoft.com/office/drawing/2014/chart" uri="{C3380CC4-5D6E-409C-BE32-E72D297353CC}">
              <c16:uniqueId val="{00000000-F5E4-4531-BD7B-5FE10FA5A275}"/>
            </c:ext>
          </c:extLst>
        </c:ser>
        <c:ser>
          <c:idx val="1"/>
          <c:order val="1"/>
          <c:tx>
            <c:strRef>
              <c:f>Sheet1!$E$1</c:f>
              <c:strCache>
                <c:ptCount val="1"/>
                <c:pt idx="0">
                  <c:v>Human Development Index</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Sheet1!$A$2:$A$34</c:f>
              <c:strCache>
                <c:ptCount val="33"/>
                <c:pt idx="0">
                  <c:v>Xianggang</c:v>
                </c:pt>
                <c:pt idx="1">
                  <c:v>Aomen</c:v>
                </c:pt>
                <c:pt idx="2">
                  <c:v>Beijing</c:v>
                </c:pt>
                <c:pt idx="3">
                  <c:v>Shanghai</c:v>
                </c:pt>
                <c:pt idx="4">
                  <c:v>Tianjin</c:v>
                </c:pt>
                <c:pt idx="5">
                  <c:v>Jiangsu</c:v>
                </c:pt>
                <c:pt idx="6">
                  <c:v>Guangdong</c:v>
                </c:pt>
                <c:pt idx="7">
                  <c:v>Zhejiang</c:v>
                </c:pt>
                <c:pt idx="8">
                  <c:v>Liaoning</c:v>
                </c:pt>
                <c:pt idx="9">
                  <c:v>Neimenggu</c:v>
                </c:pt>
                <c:pt idx="10">
                  <c:v>Jilin</c:v>
                </c:pt>
                <c:pt idx="11">
                  <c:v>Shandong</c:v>
                </c:pt>
                <c:pt idx="12">
                  <c:v>Fujian</c:v>
                </c:pt>
                <c:pt idx="13">
                  <c:v>Hubei</c:v>
                </c:pt>
                <c:pt idx="14">
                  <c:v>Chongqing</c:v>
                </c:pt>
                <c:pt idx="15">
                  <c:v>Shannxi</c:v>
                </c:pt>
                <c:pt idx="16">
                  <c:v>Hunan</c:v>
                </c:pt>
                <c:pt idx="17">
                  <c:v>Shanxi</c:v>
                </c:pt>
                <c:pt idx="18">
                  <c:v>Hainan</c:v>
                </c:pt>
                <c:pt idx="19">
                  <c:v>Heilongjiang</c:v>
                </c:pt>
                <c:pt idx="20">
                  <c:v>Ningxia</c:v>
                </c:pt>
                <c:pt idx="21">
                  <c:v>Hebei</c:v>
                </c:pt>
                <c:pt idx="22">
                  <c:v>Henan</c:v>
                </c:pt>
                <c:pt idx="23">
                  <c:v>Xinjiang</c:v>
                </c:pt>
                <c:pt idx="24">
                  <c:v>Jiangxi</c:v>
                </c:pt>
                <c:pt idx="25">
                  <c:v>Guangxi</c:v>
                </c:pt>
                <c:pt idx="26">
                  <c:v>Anhui</c:v>
                </c:pt>
                <c:pt idx="27">
                  <c:v>Sichuan</c:v>
                </c:pt>
                <c:pt idx="28">
                  <c:v>Gansu</c:v>
                </c:pt>
                <c:pt idx="29">
                  <c:v>Qinghai</c:v>
                </c:pt>
                <c:pt idx="30">
                  <c:v>Guizhou</c:v>
                </c:pt>
                <c:pt idx="31">
                  <c:v>Yunnan</c:v>
                </c:pt>
                <c:pt idx="32">
                  <c:v>Xizang</c:v>
                </c:pt>
              </c:strCache>
            </c:strRef>
          </c:cat>
          <c:val>
            <c:numRef>
              <c:f>Sheet1!$E$2:$E$34</c:f>
              <c:numCache>
                <c:formatCode>General</c:formatCode>
                <c:ptCount val="33"/>
                <c:pt idx="0">
                  <c:v>0.94899999999999995</c:v>
                </c:pt>
                <c:pt idx="1">
                  <c:v>0.91400000000000003</c:v>
                </c:pt>
                <c:pt idx="2">
                  <c:v>0.90100000000000002</c:v>
                </c:pt>
                <c:pt idx="3">
                  <c:v>0.89300000000000002</c:v>
                </c:pt>
                <c:pt idx="4">
                  <c:v>0.86499999999999999</c:v>
                </c:pt>
                <c:pt idx="5">
                  <c:v>0.81</c:v>
                </c:pt>
                <c:pt idx="6">
                  <c:v>0.80500000000000005</c:v>
                </c:pt>
                <c:pt idx="7">
                  <c:v>0.80300000000000005</c:v>
                </c:pt>
                <c:pt idx="8">
                  <c:v>0.78700000000000003</c:v>
                </c:pt>
                <c:pt idx="9">
                  <c:v>0.78</c:v>
                </c:pt>
                <c:pt idx="10">
                  <c:v>0.77500000000000002</c:v>
                </c:pt>
                <c:pt idx="11">
                  <c:v>0.77</c:v>
                </c:pt>
                <c:pt idx="12">
                  <c:v>0.76700000000000002</c:v>
                </c:pt>
                <c:pt idx="13">
                  <c:v>0.76600000000000001</c:v>
                </c:pt>
                <c:pt idx="14">
                  <c:v>0.76</c:v>
                </c:pt>
                <c:pt idx="15">
                  <c:v>0.75900000000000001</c:v>
                </c:pt>
                <c:pt idx="16">
                  <c:v>0.754</c:v>
                </c:pt>
                <c:pt idx="17">
                  <c:v>0.752</c:v>
                </c:pt>
                <c:pt idx="18">
                  <c:v>0.751</c:v>
                </c:pt>
                <c:pt idx="19">
                  <c:v>0.749</c:v>
                </c:pt>
                <c:pt idx="20">
                  <c:v>0.746</c:v>
                </c:pt>
                <c:pt idx="21">
                  <c:v>0.74</c:v>
                </c:pt>
                <c:pt idx="22">
                  <c:v>0.73499999999999999</c:v>
                </c:pt>
                <c:pt idx="23">
                  <c:v>0.73399999999999999</c:v>
                </c:pt>
                <c:pt idx="24">
                  <c:v>0.73</c:v>
                </c:pt>
                <c:pt idx="25">
                  <c:v>0.72799999999999998</c:v>
                </c:pt>
                <c:pt idx="26">
                  <c:v>0.72699999999999998</c:v>
                </c:pt>
                <c:pt idx="27">
                  <c:v>0.72499999999999998</c:v>
                </c:pt>
                <c:pt idx="28">
                  <c:v>0.71499999999999997</c:v>
                </c:pt>
                <c:pt idx="29">
                  <c:v>0.70299999999999996</c:v>
                </c:pt>
                <c:pt idx="30">
                  <c:v>0.7</c:v>
                </c:pt>
                <c:pt idx="31">
                  <c:v>0.68700000000000006</c:v>
                </c:pt>
                <c:pt idx="32">
                  <c:v>0.59699999999999998</c:v>
                </c:pt>
              </c:numCache>
            </c:numRef>
          </c:val>
          <c:smooth val="0"/>
          <c:extLst>
            <c:ext xmlns:c16="http://schemas.microsoft.com/office/drawing/2014/chart" uri="{C3380CC4-5D6E-409C-BE32-E72D297353CC}">
              <c16:uniqueId val="{00000001-F5E4-4531-BD7B-5FE10FA5A275}"/>
            </c:ext>
          </c:extLst>
        </c:ser>
        <c:dLbls>
          <c:showLegendKey val="0"/>
          <c:showVal val="0"/>
          <c:showCatName val="0"/>
          <c:showSerName val="0"/>
          <c:showPercent val="0"/>
          <c:showBubbleSize val="0"/>
        </c:dLbls>
        <c:smooth val="0"/>
        <c:axId val="557535096"/>
        <c:axId val="644000312"/>
      </c:lineChart>
      <c:catAx>
        <c:axId val="557535096"/>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zh-CN"/>
          </a:p>
        </c:txPr>
        <c:crossAx val="644000312"/>
        <c:crosses val="autoZero"/>
        <c:auto val="1"/>
        <c:lblAlgn val="ctr"/>
        <c:lblOffset val="100"/>
        <c:noMultiLvlLbl val="0"/>
      </c:catAx>
      <c:valAx>
        <c:axId val="644000312"/>
        <c:scaling>
          <c:orientation val="minMax"/>
        </c:scaling>
        <c:delete val="0"/>
        <c:axPos val="l"/>
        <c:majorGridlines>
          <c:spPr>
            <a:ln w="9525" cap="flat" cmpd="sng" algn="ctr">
              <a:solidFill>
                <a:schemeClr val="lt1">
                  <a:lumMod val="95000"/>
                  <a:alpha val="10000"/>
                </a:schemeClr>
              </a:solidFill>
              <a:round/>
            </a:ln>
            <a:effectLst/>
          </c:spPr>
        </c:majorGridlines>
        <c:numFmt formatCode="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zh-CN"/>
          </a:p>
        </c:txPr>
        <c:crossAx val="557535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Sheet1!$D$1:$D$3</c:f>
              <c:strCache>
                <c:ptCount val="3"/>
                <c:pt idx="0">
                  <c:v>Health Code Cover Rate</c:v>
                </c:pt>
                <c:pt idx="1">
                  <c:v>0.811 </c:v>
                </c:pt>
                <c:pt idx="2">
                  <c:v>0.714 </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Sheet1!$A$4:$A$34</c:f>
              <c:strCache>
                <c:ptCount val="31"/>
                <c:pt idx="0">
                  <c:v>Beijing</c:v>
                </c:pt>
                <c:pt idx="1">
                  <c:v>Shanghai</c:v>
                </c:pt>
                <c:pt idx="2">
                  <c:v>Tianjin</c:v>
                </c:pt>
                <c:pt idx="3">
                  <c:v>Jiangsu</c:v>
                </c:pt>
                <c:pt idx="4">
                  <c:v>Guangdong</c:v>
                </c:pt>
                <c:pt idx="5">
                  <c:v>Zhejiang</c:v>
                </c:pt>
                <c:pt idx="6">
                  <c:v>Liaoning</c:v>
                </c:pt>
                <c:pt idx="7">
                  <c:v>Neimenggu</c:v>
                </c:pt>
                <c:pt idx="8">
                  <c:v>Jilin</c:v>
                </c:pt>
                <c:pt idx="9">
                  <c:v>Shandong</c:v>
                </c:pt>
                <c:pt idx="10">
                  <c:v>Fujian</c:v>
                </c:pt>
                <c:pt idx="11">
                  <c:v>Hubei</c:v>
                </c:pt>
                <c:pt idx="12">
                  <c:v>Chongqing</c:v>
                </c:pt>
                <c:pt idx="13">
                  <c:v>Shannxi</c:v>
                </c:pt>
                <c:pt idx="14">
                  <c:v>Hunan</c:v>
                </c:pt>
                <c:pt idx="15">
                  <c:v>Shanxi</c:v>
                </c:pt>
                <c:pt idx="16">
                  <c:v>Hainan</c:v>
                </c:pt>
                <c:pt idx="17">
                  <c:v>Heilongjiang</c:v>
                </c:pt>
                <c:pt idx="18">
                  <c:v>Ningxia</c:v>
                </c:pt>
                <c:pt idx="19">
                  <c:v>Hebei</c:v>
                </c:pt>
                <c:pt idx="20">
                  <c:v>Henan</c:v>
                </c:pt>
                <c:pt idx="21">
                  <c:v>Xinjiang</c:v>
                </c:pt>
                <c:pt idx="22">
                  <c:v>Jiangxi</c:v>
                </c:pt>
                <c:pt idx="23">
                  <c:v>Guangxi</c:v>
                </c:pt>
                <c:pt idx="24">
                  <c:v>Anhui</c:v>
                </c:pt>
                <c:pt idx="25">
                  <c:v>Sichuan</c:v>
                </c:pt>
                <c:pt idx="26">
                  <c:v>Gansu</c:v>
                </c:pt>
                <c:pt idx="27">
                  <c:v>Qinghai</c:v>
                </c:pt>
                <c:pt idx="28">
                  <c:v>Guizhou</c:v>
                </c:pt>
                <c:pt idx="29">
                  <c:v>Yunnan</c:v>
                </c:pt>
                <c:pt idx="30">
                  <c:v>Xizang</c:v>
                </c:pt>
              </c:strCache>
            </c:strRef>
          </c:cat>
          <c:val>
            <c:numRef>
              <c:f>Sheet1!$D$4:$D$34</c:f>
              <c:numCache>
                <c:formatCode>0.000_ </c:formatCode>
                <c:ptCount val="31"/>
                <c:pt idx="0">
                  <c:v>1.5981735159817352</c:v>
                </c:pt>
                <c:pt idx="1">
                  <c:v>1.3654618473895581</c:v>
                </c:pt>
                <c:pt idx="2">
                  <c:v>1.2949640287769786</c:v>
                </c:pt>
                <c:pt idx="3">
                  <c:v>0.47995283018867924</c:v>
                </c:pt>
                <c:pt idx="4">
                  <c:v>1.4761904761904763</c:v>
                </c:pt>
                <c:pt idx="5">
                  <c:v>0.15455950540958269</c:v>
                </c:pt>
                <c:pt idx="6">
                  <c:v>0.46948356807511737</c:v>
                </c:pt>
                <c:pt idx="7">
                  <c:v>0.47916666666666663</c:v>
                </c:pt>
                <c:pt idx="8">
                  <c:v>0.15416666666666667</c:v>
                </c:pt>
                <c:pt idx="9">
                  <c:v>0.47058823529411764</c:v>
                </c:pt>
                <c:pt idx="10">
                  <c:v>0.69711538461538458</c:v>
                </c:pt>
                <c:pt idx="11">
                  <c:v>0.48083623693379784</c:v>
                </c:pt>
                <c:pt idx="12">
                  <c:v>0.37383177570093457</c:v>
                </c:pt>
                <c:pt idx="13">
                  <c:v>0.50505050505050508</c:v>
                </c:pt>
                <c:pt idx="14">
                  <c:v>0.18345864661654135</c:v>
                </c:pt>
                <c:pt idx="15">
                  <c:v>0.24355300859598852</c:v>
                </c:pt>
                <c:pt idx="16">
                  <c:v>0.49504950495049505</c:v>
                </c:pt>
                <c:pt idx="17">
                  <c:v>0.46687697160883279</c:v>
                </c:pt>
                <c:pt idx="18">
                  <c:v>0.68055555555555558</c:v>
                </c:pt>
                <c:pt idx="19">
                  <c:v>0.64343163538873993</c:v>
                </c:pt>
                <c:pt idx="20">
                  <c:v>0.7002012072434608</c:v>
                </c:pt>
                <c:pt idx="21">
                  <c:v>0.47876447876447881</c:v>
                </c:pt>
                <c:pt idx="22">
                  <c:v>0.47787610619469034</c:v>
                </c:pt>
                <c:pt idx="23">
                  <c:v>0.89641434262948216</c:v>
                </c:pt>
                <c:pt idx="24">
                  <c:v>0.49180327868852464</c:v>
                </c:pt>
                <c:pt idx="25">
                  <c:v>0.71684587813620082</c:v>
                </c:pt>
                <c:pt idx="26">
                  <c:v>0.48</c:v>
                </c:pt>
                <c:pt idx="27">
                  <c:v>0.1864406779661017</c:v>
                </c:pt>
                <c:pt idx="28">
                  <c:v>1.1688311688311688</c:v>
                </c:pt>
                <c:pt idx="29">
                  <c:v>0.48093220338983056</c:v>
                </c:pt>
                <c:pt idx="30">
                  <c:v>0.81081081081081074</c:v>
                </c:pt>
              </c:numCache>
            </c:numRef>
          </c:val>
          <c:smooth val="0"/>
          <c:extLst>
            <c:ext xmlns:c16="http://schemas.microsoft.com/office/drawing/2014/chart" uri="{C3380CC4-5D6E-409C-BE32-E72D297353CC}">
              <c16:uniqueId val="{00000000-D08E-4F16-9D8A-3E5B391B9D70}"/>
            </c:ext>
          </c:extLst>
        </c:ser>
        <c:dLbls>
          <c:showLegendKey val="0"/>
          <c:showVal val="0"/>
          <c:showCatName val="0"/>
          <c:showSerName val="0"/>
          <c:showPercent val="0"/>
          <c:showBubbleSize val="0"/>
        </c:dLbls>
        <c:marker val="1"/>
        <c:smooth val="0"/>
        <c:axId val="557536056"/>
        <c:axId val="315403112"/>
      </c:lineChart>
      <c:lineChart>
        <c:grouping val="standard"/>
        <c:varyColors val="0"/>
        <c:ser>
          <c:idx val="1"/>
          <c:order val="1"/>
          <c:tx>
            <c:strRef>
              <c:f>Sheet1!$F$1:$F$3</c:f>
              <c:strCache>
                <c:ptCount val="3"/>
                <c:pt idx="0">
                  <c:v>mobile populations(10 million people)</c:v>
                </c:pt>
                <c:pt idx="1">
                  <c:v>/</c:v>
                </c:pt>
                <c:pt idx="2">
                  <c:v>/</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Sheet1!$A$4:$A$34</c:f>
              <c:strCache>
                <c:ptCount val="31"/>
                <c:pt idx="0">
                  <c:v>Beijing</c:v>
                </c:pt>
                <c:pt idx="1">
                  <c:v>Shanghai</c:v>
                </c:pt>
                <c:pt idx="2">
                  <c:v>Tianjin</c:v>
                </c:pt>
                <c:pt idx="3">
                  <c:v>Jiangsu</c:v>
                </c:pt>
                <c:pt idx="4">
                  <c:v>Guangdong</c:v>
                </c:pt>
                <c:pt idx="5">
                  <c:v>Zhejiang</c:v>
                </c:pt>
                <c:pt idx="6">
                  <c:v>Liaoning</c:v>
                </c:pt>
                <c:pt idx="7">
                  <c:v>Neimenggu</c:v>
                </c:pt>
                <c:pt idx="8">
                  <c:v>Jilin</c:v>
                </c:pt>
                <c:pt idx="9">
                  <c:v>Shandong</c:v>
                </c:pt>
                <c:pt idx="10">
                  <c:v>Fujian</c:v>
                </c:pt>
                <c:pt idx="11">
                  <c:v>Hubei</c:v>
                </c:pt>
                <c:pt idx="12">
                  <c:v>Chongqing</c:v>
                </c:pt>
                <c:pt idx="13">
                  <c:v>Shannxi</c:v>
                </c:pt>
                <c:pt idx="14">
                  <c:v>Hunan</c:v>
                </c:pt>
                <c:pt idx="15">
                  <c:v>Shanxi</c:v>
                </c:pt>
                <c:pt idx="16">
                  <c:v>Hainan</c:v>
                </c:pt>
                <c:pt idx="17">
                  <c:v>Heilongjiang</c:v>
                </c:pt>
                <c:pt idx="18">
                  <c:v>Ningxia</c:v>
                </c:pt>
                <c:pt idx="19">
                  <c:v>Hebei</c:v>
                </c:pt>
                <c:pt idx="20">
                  <c:v>Henan</c:v>
                </c:pt>
                <c:pt idx="21">
                  <c:v>Xinjiang</c:v>
                </c:pt>
                <c:pt idx="22">
                  <c:v>Jiangxi</c:v>
                </c:pt>
                <c:pt idx="23">
                  <c:v>Guangxi</c:v>
                </c:pt>
                <c:pt idx="24">
                  <c:v>Anhui</c:v>
                </c:pt>
                <c:pt idx="25">
                  <c:v>Sichuan</c:v>
                </c:pt>
                <c:pt idx="26">
                  <c:v>Gansu</c:v>
                </c:pt>
                <c:pt idx="27">
                  <c:v>Qinghai</c:v>
                </c:pt>
                <c:pt idx="28">
                  <c:v>Guizhou</c:v>
                </c:pt>
                <c:pt idx="29">
                  <c:v>Yunnan</c:v>
                </c:pt>
                <c:pt idx="30">
                  <c:v>Xizang</c:v>
                </c:pt>
              </c:strCache>
            </c:strRef>
          </c:cat>
          <c:val>
            <c:numRef>
              <c:f>Sheet1!$F$4:$F$34</c:f>
              <c:numCache>
                <c:formatCode>General</c:formatCode>
                <c:ptCount val="31"/>
                <c:pt idx="0">
                  <c:v>841.8</c:v>
                </c:pt>
                <c:pt idx="1">
                  <c:v>1047.97</c:v>
                </c:pt>
                <c:pt idx="2">
                  <c:v>353.48</c:v>
                </c:pt>
                <c:pt idx="3">
                  <c:v>2366.38</c:v>
                </c:pt>
                <c:pt idx="4">
                  <c:v>5206.62</c:v>
                </c:pt>
                <c:pt idx="5">
                  <c:v>2555.75</c:v>
                </c:pt>
                <c:pt idx="6">
                  <c:v>999.32</c:v>
                </c:pt>
                <c:pt idx="7">
                  <c:v>906.84</c:v>
                </c:pt>
                <c:pt idx="8">
                  <c:v>795.14</c:v>
                </c:pt>
                <c:pt idx="9">
                  <c:v>2074.3000000000002</c:v>
                </c:pt>
                <c:pt idx="10">
                  <c:v>1366.12</c:v>
                </c:pt>
                <c:pt idx="11">
                  <c:v>1276.42</c:v>
                </c:pt>
                <c:pt idx="12">
                  <c:v>481.14</c:v>
                </c:pt>
                <c:pt idx="13">
                  <c:v>927.39</c:v>
                </c:pt>
                <c:pt idx="14">
                  <c:v>0</c:v>
                </c:pt>
                <c:pt idx="15">
                  <c:v>967.38</c:v>
                </c:pt>
                <c:pt idx="16">
                  <c:v>266.23</c:v>
                </c:pt>
                <c:pt idx="17">
                  <c:v>765.27</c:v>
                </c:pt>
                <c:pt idx="18">
                  <c:v>250.7</c:v>
                </c:pt>
                <c:pt idx="19">
                  <c:v>1533.29</c:v>
                </c:pt>
                <c:pt idx="20">
                  <c:v>2120.17</c:v>
                </c:pt>
                <c:pt idx="21">
                  <c:v>805.14</c:v>
                </c:pt>
                <c:pt idx="22">
                  <c:v>963.4</c:v>
                </c:pt>
                <c:pt idx="23">
                  <c:v>952.25</c:v>
                </c:pt>
                <c:pt idx="24">
                  <c:v>1387.2</c:v>
                </c:pt>
                <c:pt idx="25">
                  <c:v>2068.9</c:v>
                </c:pt>
                <c:pt idx="26">
                  <c:v>534.16</c:v>
                </c:pt>
                <c:pt idx="27">
                  <c:v>160.6</c:v>
                </c:pt>
                <c:pt idx="28">
                  <c:v>959.01</c:v>
                </c:pt>
                <c:pt idx="29">
                  <c:v>1059.9100000000001</c:v>
                </c:pt>
                <c:pt idx="30">
                  <c:v>103.11</c:v>
                </c:pt>
              </c:numCache>
            </c:numRef>
          </c:val>
          <c:smooth val="0"/>
          <c:extLst>
            <c:ext xmlns:c16="http://schemas.microsoft.com/office/drawing/2014/chart" uri="{C3380CC4-5D6E-409C-BE32-E72D297353CC}">
              <c16:uniqueId val="{00000001-D08E-4F16-9D8A-3E5B391B9D70}"/>
            </c:ext>
          </c:extLst>
        </c:ser>
        <c:dLbls>
          <c:showLegendKey val="0"/>
          <c:showVal val="0"/>
          <c:showCatName val="0"/>
          <c:showSerName val="0"/>
          <c:showPercent val="0"/>
          <c:showBubbleSize val="0"/>
        </c:dLbls>
        <c:marker val="1"/>
        <c:smooth val="0"/>
        <c:axId val="494994936"/>
        <c:axId val="494989816"/>
      </c:lineChart>
      <c:catAx>
        <c:axId val="55753605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zh-CN"/>
          </a:p>
        </c:txPr>
        <c:crossAx val="315403112"/>
        <c:crosses val="autoZero"/>
        <c:auto val="1"/>
        <c:lblAlgn val="ctr"/>
        <c:lblOffset val="100"/>
        <c:noMultiLvlLbl val="0"/>
      </c:catAx>
      <c:valAx>
        <c:axId val="315403112"/>
        <c:scaling>
          <c:orientation val="minMax"/>
        </c:scaling>
        <c:delete val="0"/>
        <c:axPos val="l"/>
        <c:majorGridlines>
          <c:spPr>
            <a:ln w="9525" cap="flat" cmpd="sng" algn="ctr">
              <a:solidFill>
                <a:schemeClr val="lt1">
                  <a:lumMod val="95000"/>
                  <a:alpha val="10000"/>
                </a:schemeClr>
              </a:solidFill>
              <a:round/>
            </a:ln>
            <a:effectLst/>
          </c:spPr>
        </c:majorGridlines>
        <c:numFmt formatCode="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zh-CN"/>
          </a:p>
        </c:txPr>
        <c:crossAx val="557536056"/>
        <c:crosses val="autoZero"/>
        <c:crossBetween val="between"/>
      </c:valAx>
      <c:valAx>
        <c:axId val="49498981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zh-CN"/>
          </a:p>
        </c:txPr>
        <c:crossAx val="494994936"/>
        <c:crosses val="max"/>
        <c:crossBetween val="between"/>
      </c:valAx>
      <c:catAx>
        <c:axId val="494994936"/>
        <c:scaling>
          <c:orientation val="minMax"/>
        </c:scaling>
        <c:delete val="1"/>
        <c:axPos val="b"/>
        <c:numFmt formatCode="General" sourceLinked="1"/>
        <c:majorTickMark val="none"/>
        <c:minorTickMark val="none"/>
        <c:tickLblPos val="nextTo"/>
        <c:crossAx val="4949898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鹤见 鹤</dc:creator>
  <cp:keywords/>
  <dc:description/>
  <cp:lastModifiedBy>鹤见 鹤</cp:lastModifiedBy>
  <cp:revision>3</cp:revision>
  <dcterms:created xsi:type="dcterms:W3CDTF">2022-05-01T01:19:00Z</dcterms:created>
  <dcterms:modified xsi:type="dcterms:W3CDTF">2022-05-01T23:00:00Z</dcterms:modified>
</cp:coreProperties>
</file>